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numPr>
          <w:ilvl w:val="0"/>
          <w:numId w:val="0"/>
        </w:numPr>
        <w:kinsoku/>
        <w:wordWrap/>
        <w:overflowPunct/>
        <w:topLinePunct w:val="0"/>
        <w:bidi w:val="0"/>
        <w:snapToGrid/>
        <w:spacing w:before="0" w:after="0" w:line="480" w:lineRule="exact"/>
        <w:ind w:left="432" w:leftChars="0" w:right="0" w:rightChars="0" w:hanging="432" w:firstLineChars="0"/>
        <w:jc w:val="both"/>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cs="方正小标宋简体"/>
          <w:b w:val="0"/>
          <w:bCs w:val="0"/>
          <w:sz w:val="32"/>
          <w:szCs w:val="32"/>
          <w:lang w:eastAsia="zh-CN"/>
        </w:rPr>
        <w:t>附件</w:t>
      </w:r>
    </w:p>
    <w:p>
      <w:pPr>
        <w:pStyle w:val="5"/>
        <w:pageBreakBefore w:val="0"/>
        <w:widowControl w:val="0"/>
        <w:numPr>
          <w:ilvl w:val="0"/>
          <w:numId w:val="0"/>
        </w:numPr>
        <w:kinsoku/>
        <w:wordWrap/>
        <w:overflowPunct/>
        <w:topLinePunct w:val="0"/>
        <w:bidi w:val="0"/>
        <w:snapToGrid/>
        <w:spacing w:before="0" w:after="0" w:line="480" w:lineRule="exact"/>
        <w:ind w:left="432" w:leftChars="0" w:right="0" w:rightChars="0" w:hanging="432" w:firstLineChars="0"/>
        <w:jc w:val="center"/>
        <w:textAlignment w:val="auto"/>
        <w:rPr>
          <w:rFonts w:hint="eastAsia" w:ascii="方正小标宋简体" w:hAnsi="方正小标宋简体" w:eastAsia="方正小标宋简体" w:cs="方正小标宋简体"/>
          <w:sz w:val="44"/>
          <w:szCs w:val="44"/>
        </w:rPr>
      </w:pPr>
    </w:p>
    <w:p>
      <w:pPr>
        <w:pStyle w:val="5"/>
        <w:pageBreakBefore w:val="0"/>
        <w:widowControl w:val="0"/>
        <w:numPr>
          <w:ilvl w:val="0"/>
          <w:numId w:val="0"/>
        </w:numPr>
        <w:kinsoku/>
        <w:wordWrap/>
        <w:overflowPunct/>
        <w:topLinePunct w:val="0"/>
        <w:bidi w:val="0"/>
        <w:snapToGrid/>
        <w:spacing w:before="0" w:after="0" w:line="480" w:lineRule="exact"/>
        <w:ind w:left="432" w:leftChars="0" w:right="0" w:rightChars="0" w:hanging="432"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w:t>
      </w:r>
      <w:r>
        <w:rPr>
          <w:rFonts w:hint="eastAsia" w:ascii="方正小标宋简体" w:hAnsi="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购</w:t>
      </w:r>
      <w:r>
        <w:rPr>
          <w:rFonts w:hint="eastAsia" w:ascii="方正小标宋简体" w:hAnsi="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需</w:t>
      </w:r>
      <w:r>
        <w:rPr>
          <w:rFonts w:hint="eastAsia" w:ascii="方正小标宋简体" w:hAnsi="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求</w:t>
      </w:r>
    </w:p>
    <w:p>
      <w:pPr>
        <w:rPr>
          <w:rFonts w:hint="eastAsia"/>
        </w:rPr>
      </w:pPr>
    </w:p>
    <w:p>
      <w:pPr>
        <w:pStyle w:val="6"/>
        <w:pageBreakBefore w:val="0"/>
        <w:widowControl w:val="0"/>
        <w:kinsoku/>
        <w:wordWrap/>
        <w:overflowPunct/>
        <w:topLinePunct w:val="0"/>
        <w:bidi w:val="0"/>
        <w:snapToGrid/>
        <w:spacing w:before="0" w:after="0" w:line="480" w:lineRule="exact"/>
        <w:ind w:right="0" w:rightChars="0"/>
        <w:textAlignment w:val="auto"/>
        <w:rPr>
          <w:rFonts w:hint="eastAsia"/>
          <w:lang w:val="en-US" w:eastAsia="zh-CN"/>
        </w:rPr>
      </w:pPr>
      <w:r>
        <w:rPr>
          <w:rFonts w:hint="eastAsia"/>
          <w:lang w:val="en-US" w:eastAsia="zh-CN"/>
        </w:rPr>
        <w:t>采购服务内容</w:t>
      </w:r>
    </w:p>
    <w:tbl>
      <w:tblPr>
        <w:tblStyle w:val="1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0"/>
        <w:gridCol w:w="249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2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416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b w:val="0"/>
                <w:bCs/>
                <w:kern w:val="44"/>
                <w:sz w:val="24"/>
                <w:szCs w:val="24"/>
                <w:lang w:val="en-US" w:eastAsia="zh-CN" w:bidi="ar-SA"/>
              </w:rPr>
              <w:t>服务内容</w:t>
            </w:r>
          </w:p>
        </w:tc>
        <w:tc>
          <w:tcPr>
            <w:tcW w:w="249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具体要求</w:t>
            </w:r>
          </w:p>
        </w:tc>
        <w:tc>
          <w:tcPr>
            <w:tcW w:w="249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16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离退休</w:t>
            </w:r>
            <w:r>
              <w:rPr>
                <w:rFonts w:hint="eastAsia" w:ascii="仿宋_GB2312" w:hAnsi="仿宋_GB2312" w:cs="仿宋_GB2312"/>
                <w:sz w:val="24"/>
                <w:szCs w:val="24"/>
                <w:vertAlign w:val="baseline"/>
                <w:lang w:val="en-US" w:eastAsia="zh-CN"/>
              </w:rPr>
              <w:t>档案</w:t>
            </w:r>
            <w:r>
              <w:rPr>
                <w:rFonts w:hint="eastAsia" w:ascii="仿宋_GB2312" w:hAnsi="仿宋_GB2312" w:eastAsia="仿宋_GB2312" w:cs="仿宋_GB2312"/>
                <w:sz w:val="24"/>
                <w:szCs w:val="24"/>
                <w:vertAlign w:val="baseline"/>
                <w:lang w:val="en-US" w:eastAsia="zh-CN"/>
              </w:rPr>
              <w:t>数字化加工</w:t>
            </w:r>
          </w:p>
        </w:tc>
        <w:tc>
          <w:tcPr>
            <w:tcW w:w="24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详见“</w:t>
            </w:r>
            <w:r>
              <w:rPr>
                <w:rFonts w:hint="eastAsia" w:ascii="仿宋_GB2312" w:hAnsi="仿宋_GB2312" w:cs="仿宋_GB2312"/>
                <w:sz w:val="24"/>
                <w:szCs w:val="24"/>
                <w:vertAlign w:val="baseline"/>
                <w:lang w:val="en-US" w:eastAsia="zh-CN"/>
              </w:rPr>
              <w:t>干部人事档案数字化服务及相关</w:t>
            </w:r>
            <w:r>
              <w:rPr>
                <w:rFonts w:hint="eastAsia" w:ascii="仿宋_GB2312" w:hAnsi="仿宋_GB2312" w:eastAsia="仿宋_GB2312" w:cs="仿宋_GB2312"/>
                <w:sz w:val="24"/>
                <w:szCs w:val="24"/>
                <w:vertAlign w:val="baseline"/>
                <w:lang w:val="en-US" w:eastAsia="zh-CN"/>
              </w:rPr>
              <w:t>硬件</w:t>
            </w:r>
            <w:r>
              <w:rPr>
                <w:rFonts w:hint="eastAsia" w:ascii="仿宋_GB2312" w:hAnsi="仿宋_GB2312" w:cs="仿宋_GB2312"/>
                <w:sz w:val="24"/>
                <w:szCs w:val="24"/>
                <w:vertAlign w:val="baseline"/>
                <w:lang w:val="en-US" w:eastAsia="zh-CN"/>
              </w:rPr>
              <w:t>设备</w:t>
            </w:r>
            <w:r>
              <w:rPr>
                <w:rFonts w:hint="eastAsia" w:ascii="仿宋_GB2312" w:hAnsi="仿宋_GB2312" w:eastAsia="仿宋_GB2312" w:cs="仿宋_GB2312"/>
                <w:sz w:val="24"/>
                <w:szCs w:val="24"/>
                <w:vertAlign w:val="baseline"/>
                <w:lang w:val="en-US" w:eastAsia="zh-CN"/>
              </w:rPr>
              <w:t>参数”</w:t>
            </w:r>
          </w:p>
        </w:tc>
        <w:tc>
          <w:tcPr>
            <w:tcW w:w="249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280卷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16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在职</w:t>
            </w:r>
            <w:r>
              <w:rPr>
                <w:rFonts w:hint="default" w:ascii="仿宋_GB2312" w:hAnsi="仿宋_GB2312" w:eastAsia="仿宋_GB2312" w:cs="仿宋_GB2312"/>
                <w:sz w:val="24"/>
                <w:szCs w:val="24"/>
                <w:vertAlign w:val="baseline"/>
                <w:lang w:val="en-US" w:eastAsia="zh-CN"/>
              </w:rPr>
              <w:t>干部人事档案数字化</w:t>
            </w:r>
            <w:r>
              <w:rPr>
                <w:rFonts w:hint="eastAsia" w:ascii="仿宋_GB2312" w:hAnsi="仿宋_GB2312" w:cs="仿宋_GB2312"/>
                <w:sz w:val="24"/>
                <w:szCs w:val="24"/>
                <w:vertAlign w:val="baseline"/>
                <w:lang w:val="en-US" w:eastAsia="zh-CN"/>
              </w:rPr>
              <w:t>全过程</w:t>
            </w:r>
            <w:r>
              <w:rPr>
                <w:rFonts w:hint="default" w:ascii="仿宋_GB2312" w:hAnsi="仿宋_GB2312" w:eastAsia="仿宋_GB2312" w:cs="仿宋_GB2312"/>
                <w:sz w:val="24"/>
                <w:szCs w:val="24"/>
                <w:vertAlign w:val="baseline"/>
                <w:lang w:val="en-US" w:eastAsia="zh-CN"/>
              </w:rPr>
              <w:t>服务</w:t>
            </w:r>
          </w:p>
        </w:tc>
        <w:tc>
          <w:tcPr>
            <w:tcW w:w="2490" w:type="dxa"/>
            <w:vMerge w:val="continue"/>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sz w:val="24"/>
                <w:szCs w:val="24"/>
                <w:vertAlign w:val="baseline"/>
                <w:lang w:val="en-US" w:eastAsia="zh-CN"/>
              </w:rPr>
            </w:pPr>
          </w:p>
        </w:tc>
        <w:tc>
          <w:tcPr>
            <w:tcW w:w="249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300卷/18个月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82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3</w:t>
            </w:r>
          </w:p>
        </w:tc>
        <w:tc>
          <w:tcPr>
            <w:tcW w:w="4160" w:type="dxa"/>
            <w:shd w:val="clear" w:color="auto" w:fill="auto"/>
            <w:vAlign w:val="center"/>
          </w:tcPr>
          <w:p>
            <w:pPr>
              <w:pageBreakBefore w:val="0"/>
              <w:widowControl w:val="0"/>
              <w:kinsoku/>
              <w:wordWrap/>
              <w:overflowPunct/>
              <w:topLinePunct w:val="0"/>
              <w:bidi w:val="0"/>
              <w:snapToGrid/>
              <w:spacing w:line="480" w:lineRule="exact"/>
              <w:ind w:right="0" w:rightChars="0"/>
              <w:jc w:val="left"/>
              <w:textAlignment w:val="auto"/>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干部人事档案管理智能柜</w:t>
            </w:r>
            <w:r>
              <w:rPr>
                <w:rFonts w:hint="eastAsia" w:ascii="仿宋_GB2312" w:hAnsi="仿宋_GB2312" w:cs="仿宋_GB2312"/>
                <w:kern w:val="2"/>
                <w:sz w:val="24"/>
                <w:szCs w:val="24"/>
                <w:vertAlign w:val="baseline"/>
                <w:lang w:val="en-US" w:eastAsia="zh-CN" w:bidi="ar-SA"/>
              </w:rPr>
              <w:t>及相关配套设施</w:t>
            </w:r>
          </w:p>
        </w:tc>
        <w:tc>
          <w:tcPr>
            <w:tcW w:w="2490" w:type="dxa"/>
            <w:vMerge w:val="continue"/>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sz w:val="24"/>
                <w:szCs w:val="24"/>
                <w:vertAlign w:val="baseline"/>
                <w:lang w:val="en-US" w:eastAsia="zh-CN"/>
              </w:rPr>
            </w:pPr>
          </w:p>
        </w:tc>
        <w:tc>
          <w:tcPr>
            <w:tcW w:w="249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4</w:t>
            </w:r>
          </w:p>
        </w:tc>
        <w:tc>
          <w:tcPr>
            <w:tcW w:w="416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sz w:val="24"/>
                <w:szCs w:val="24"/>
                <w:vertAlign w:val="baseline"/>
                <w:lang w:val="en-US" w:eastAsia="zh-CN"/>
              </w:rPr>
              <w:t>干部人事智能档案盒</w:t>
            </w:r>
          </w:p>
        </w:tc>
        <w:tc>
          <w:tcPr>
            <w:tcW w:w="2490" w:type="dxa"/>
            <w:vMerge w:val="continue"/>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sz w:val="24"/>
                <w:szCs w:val="24"/>
                <w:vertAlign w:val="baseline"/>
                <w:lang w:val="en-US" w:eastAsia="zh-CN"/>
              </w:rPr>
            </w:pPr>
          </w:p>
        </w:tc>
        <w:tc>
          <w:tcPr>
            <w:tcW w:w="2490" w:type="dxa"/>
            <w:shd w:val="clear" w:color="auto" w:fill="auto"/>
            <w:vAlign w:val="center"/>
          </w:tcPr>
          <w:p>
            <w:pPr>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val="en-US" w:eastAsia="zh-CN"/>
              </w:rPr>
              <w:t>400套</w:t>
            </w:r>
          </w:p>
        </w:tc>
      </w:tr>
    </w:tbl>
    <w:p>
      <w:pPr>
        <w:pStyle w:val="6"/>
        <w:pageBreakBefore w:val="0"/>
        <w:widowControl w:val="0"/>
        <w:kinsoku/>
        <w:wordWrap/>
        <w:overflowPunct/>
        <w:topLinePunct w:val="0"/>
        <w:bidi w:val="0"/>
        <w:snapToGrid/>
        <w:spacing w:before="0" w:after="0" w:line="480" w:lineRule="exact"/>
        <w:ind w:right="0" w:rightChars="0"/>
        <w:jc w:val="both"/>
        <w:textAlignment w:val="auto"/>
        <w:rPr>
          <w:rFonts w:hint="default"/>
          <w:lang w:val="en-US" w:eastAsia="zh-CN"/>
        </w:rPr>
      </w:pPr>
      <w:r>
        <w:rPr>
          <w:rFonts w:hint="eastAsia"/>
          <w:lang w:val="en-US" w:eastAsia="zh-CN"/>
        </w:rPr>
        <w:t>干部人事档案数字化服务及相关硬件设备参数</w:t>
      </w:r>
    </w:p>
    <w:p>
      <w:pPr>
        <w:pStyle w:val="7"/>
        <w:pageBreakBefore w:val="0"/>
        <w:widowControl w:val="0"/>
        <w:kinsoku/>
        <w:wordWrap/>
        <w:overflowPunct/>
        <w:topLinePunct w:val="0"/>
        <w:bidi w:val="0"/>
        <w:snapToGrid/>
        <w:spacing w:before="0" w:after="0" w:line="480" w:lineRule="exact"/>
        <w:ind w:right="0" w:rightChars="0"/>
        <w:jc w:val="both"/>
        <w:textAlignment w:val="auto"/>
        <w:rPr>
          <w:rFonts w:hint="eastAsia"/>
          <w:lang w:val="en-US" w:eastAsia="zh-CN"/>
        </w:rPr>
      </w:pPr>
      <w:r>
        <w:rPr>
          <w:rFonts w:hint="eastAsia"/>
          <w:lang w:val="en-US" w:eastAsia="zh-CN"/>
        </w:rPr>
        <w:t>离退休档案数字化加工制作</w:t>
      </w:r>
    </w:p>
    <w:p>
      <w:pPr>
        <w:keepNext w:val="0"/>
        <w:keepLines w:val="0"/>
        <w:pageBreakBefore w:val="0"/>
        <w:widowControl w:val="0"/>
        <w:shd w:val="clear"/>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color w:val="000000" w:themeColor="text1"/>
          <w:sz w:val="28"/>
          <w:szCs w:val="28"/>
          <w14:textFill>
            <w14:solidFill>
              <w14:schemeClr w14:val="tx1"/>
            </w14:solidFill>
          </w14:textFill>
        </w:rPr>
        <w:t>根据</w:t>
      </w:r>
      <w:r>
        <w:rPr>
          <w:rFonts w:hint="eastAsia" w:ascii="仿宋_GB2312" w:hAnsi="仿宋_GB2312" w:cs="仿宋_GB2312"/>
          <w:bCs/>
          <w:color w:val="000000" w:themeColor="text1"/>
          <w:sz w:val="28"/>
          <w:szCs w:val="28"/>
          <w:lang w:eastAsia="zh-CN"/>
          <w14:textFill>
            <w14:solidFill>
              <w14:schemeClr w14:val="tx1"/>
            </w14:solidFill>
          </w14:textFill>
        </w:rPr>
        <w:t>中共</w:t>
      </w:r>
      <w:r>
        <w:rPr>
          <w:rFonts w:hint="eastAsia" w:ascii="仿宋_GB2312" w:hAnsi="仿宋_GB2312" w:eastAsia="仿宋_GB2312" w:cs="仿宋_GB2312"/>
          <w:bCs/>
          <w:color w:val="000000" w:themeColor="text1"/>
          <w:sz w:val="28"/>
          <w:szCs w:val="28"/>
          <w14:textFill>
            <w14:solidFill>
              <w14:schemeClr w14:val="tx1"/>
            </w14:solidFill>
          </w14:textFill>
        </w:rPr>
        <w:t>中</w:t>
      </w:r>
      <w:r>
        <w:rPr>
          <w:rFonts w:hint="eastAsia" w:ascii="仿宋_GB2312" w:hAnsi="仿宋_GB2312" w:cs="仿宋_GB2312"/>
          <w:bCs/>
          <w:color w:val="000000" w:themeColor="text1"/>
          <w:sz w:val="28"/>
          <w:szCs w:val="28"/>
          <w:lang w:eastAsia="zh-CN"/>
          <w14:textFill>
            <w14:solidFill>
              <w14:schemeClr w14:val="tx1"/>
            </w14:solidFill>
          </w14:textFill>
        </w:rPr>
        <w:t>央组织</w:t>
      </w:r>
      <w:r>
        <w:rPr>
          <w:rFonts w:hint="eastAsia" w:ascii="仿宋_GB2312" w:hAnsi="仿宋_GB2312" w:eastAsia="仿宋_GB2312" w:cs="仿宋_GB2312"/>
          <w:bCs/>
          <w:color w:val="000000" w:themeColor="text1"/>
          <w:sz w:val="28"/>
          <w:szCs w:val="28"/>
          <w14:textFill>
            <w14:solidFill>
              <w14:schemeClr w14:val="tx1"/>
            </w14:solidFill>
          </w14:textFill>
        </w:rPr>
        <w:t>部关于干部人事档案整理工作细则和干部数字档案报送标准（组通字〔2010〕61号）、《干部人事档案数字化技术规范》（GB/T33870-2017以下简称《规范》）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对</w:t>
      </w:r>
      <w:r>
        <w:rPr>
          <w:rFonts w:hint="eastAsia" w:ascii="仿宋_GB2312" w:hAnsi="仿宋_GB2312" w:cs="仿宋_GB2312"/>
          <w:bCs/>
          <w:color w:val="000000" w:themeColor="text1"/>
          <w:sz w:val="28"/>
          <w:szCs w:val="28"/>
          <w:highlight w:val="none"/>
          <w:u w:val="none"/>
          <w:lang w:val="en-US" w:eastAsia="zh-CN"/>
          <w14:textFill>
            <w14:solidFill>
              <w14:schemeClr w14:val="tx1"/>
            </w14:solidFill>
          </w14:textFill>
        </w:rPr>
        <w:t>280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卷</w:t>
      </w:r>
      <w:r>
        <w:rPr>
          <w:rFonts w:hint="eastAsia"/>
          <w:lang w:val="en-US" w:eastAsia="zh-CN"/>
        </w:rPr>
        <w:t>离退休干部档案</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进行整理编码、目录录入、档案扫描、原始档案扫描制作、原始图像处理纠偏、原始图像数据审核、干部档案目录、档案数据备份、打印装订等。具体要求如下：</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b/>
          <w:bCs/>
        </w:rPr>
      </w:pPr>
      <w:r>
        <w:rPr>
          <w:rFonts w:hint="eastAsia"/>
          <w:b/>
          <w:bCs/>
          <w:lang w:val="en-US" w:eastAsia="zh-CN"/>
        </w:rPr>
        <w:t>1.</w:t>
      </w:r>
      <w:r>
        <w:rPr>
          <w:rFonts w:hint="eastAsia"/>
          <w:b/>
          <w:bCs/>
        </w:rPr>
        <w:t>整理编码</w:t>
      </w:r>
    </w:p>
    <w:p>
      <w:pPr>
        <w:keepNext w:val="0"/>
        <w:keepLines w:val="0"/>
        <w:pageBreakBefore w:val="0"/>
        <w:widowControl w:val="0"/>
        <w:shd w:val="clear"/>
        <w:kinsoku/>
        <w:wordWrap/>
        <w:overflowPunct/>
        <w:topLinePunct w:val="0"/>
        <w:autoSpaceDE w:val="0"/>
        <w:autoSpaceDN w:val="0"/>
        <w:bidi w:val="0"/>
        <w:adjustRightInd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将零散材料补充至干部档案中；</w:t>
      </w:r>
    </w:p>
    <w:p>
      <w:pPr>
        <w:keepNext w:val="0"/>
        <w:keepLines w:val="0"/>
        <w:pageBreakBefore w:val="0"/>
        <w:widowControl w:val="0"/>
        <w:shd w:val="clear"/>
        <w:kinsoku/>
        <w:wordWrap/>
        <w:overflowPunct/>
        <w:topLinePunct w:val="0"/>
        <w:autoSpaceDE w:val="0"/>
        <w:autoSpaceDN w:val="0"/>
        <w:bidi w:val="0"/>
        <w:adjustRightInd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严格把关四类、九类的分类和排序标准；</w:t>
      </w:r>
    </w:p>
    <w:p>
      <w:pPr>
        <w:keepNext w:val="0"/>
        <w:keepLines w:val="0"/>
        <w:pageBreakBefore w:val="0"/>
        <w:widowControl w:val="0"/>
        <w:shd w:val="clear"/>
        <w:kinsoku/>
        <w:wordWrap/>
        <w:overflowPunct/>
        <w:topLinePunct w:val="0"/>
        <w:autoSpaceDE w:val="0"/>
        <w:autoSpaceDN w:val="0"/>
        <w:bidi w:val="0"/>
        <w:adjustRightInd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严格把关每份材料的类号、页码编注标准；</w:t>
      </w:r>
    </w:p>
    <w:p>
      <w:pPr>
        <w:keepNext w:val="0"/>
        <w:keepLines w:val="0"/>
        <w:pageBreakBefore w:val="0"/>
        <w:widowControl w:val="0"/>
        <w:shd w:val="clear"/>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档案材料排序完成后，用铅笔在每份材料首页的右上角编上类号和顺序号，并在其右下角编写页码。</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b/>
          <w:bCs/>
          <w:lang w:val="en-US" w:eastAsia="zh-CN"/>
        </w:rPr>
      </w:pPr>
      <w:r>
        <w:rPr>
          <w:rFonts w:hint="eastAsia"/>
          <w:b/>
          <w:bCs/>
          <w:lang w:val="en-US" w:eastAsia="zh-CN"/>
        </w:rPr>
        <w:t>2.目录录入</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严格准确地进行档案目录录入，具体标准如下：逐份录入，不多录、少录；</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录入目录内容与档案内容完全一致，不错录。</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b/>
          <w:bCs/>
          <w:lang w:val="en-US" w:eastAsia="zh-CN"/>
        </w:rPr>
      </w:pPr>
      <w:r>
        <w:rPr>
          <w:rFonts w:hint="eastAsia"/>
          <w:b/>
          <w:bCs/>
          <w:lang w:val="en-US" w:eastAsia="zh-CN"/>
        </w:rPr>
        <w:t>3.档案扫描</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根据档案的材质选用平板扫描方式，扫描时档案摆放与扫描仪四角平行，不对档案原件造成破坏，保证档案扫描图像与原件一致、整洁、清晰；</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对拟扫描档案逐页进行检查，档案严重破损、污染和字迹褪变情况应在《扫描档案登记表》相应栏中标注清楚“原件破损”、“原件模糊”、“原件残缺”等情况说明，影响扫描工作进行的档案，应在注意保护档案不受损害的情况下进行拆件；</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采用彩色单页jpg的存储格式，扫描分辨率为300dpi，图片文件成品数据为24bit真彩JPG压缩格式；</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按照《干部档案整理工作细则》，每份档案须按十大类按顺序进行扫描操作；</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对年代较早、纸质较差、脆、薄的页必须使用平板扫描，不得使用高速扫描以免档案破损；</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对纸质较薄，透明的页必须垫白纸扫描，避免前后内容透视重叠；</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扫描完成后必须正确排列档案文件和页面顺序。</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cs="仿宋_GB2312"/>
          <w:b/>
          <w:bCs/>
          <w:color w:val="000000" w:themeColor="text1"/>
          <w:kern w:val="2"/>
          <w:sz w:val="28"/>
          <w:szCs w:val="28"/>
          <w:lang w:val="en-US" w:eastAsia="zh-CN" w:bidi="ar-SA"/>
          <w14:textFill>
            <w14:solidFill>
              <w14:schemeClr w14:val="tx1"/>
            </w14:solidFill>
          </w14:textFill>
        </w:rPr>
        <w:t>4.</w:t>
      </w:r>
      <w:r>
        <w:rPr>
          <w:rFonts w:hint="eastAsia" w:ascii="仿宋_GB2312" w:hAnsi="仿宋_GB2312" w:eastAsia="仿宋_GB2312" w:cs="仿宋_GB2312"/>
          <w:b/>
          <w:bCs/>
          <w:color w:val="000000" w:themeColor="text1"/>
          <w:sz w:val="28"/>
          <w:szCs w:val="28"/>
          <w14:textFill>
            <w14:solidFill>
              <w14:schemeClr w14:val="tx1"/>
            </w14:solidFill>
          </w14:textFill>
        </w:rPr>
        <w:t>原始</w:t>
      </w:r>
      <w:r>
        <w:rPr>
          <w:rFonts w:hint="eastAsia"/>
          <w:b/>
          <w:bCs/>
          <w:lang w:val="en-US" w:eastAsia="zh-CN"/>
        </w:rPr>
        <w:t>图像</w:t>
      </w:r>
      <w:r>
        <w:rPr>
          <w:rFonts w:hint="eastAsia" w:ascii="仿宋_GB2312" w:hAnsi="仿宋_GB2312" w:eastAsia="仿宋_GB2312" w:cs="仿宋_GB2312"/>
          <w:b/>
          <w:bCs/>
          <w:color w:val="000000" w:themeColor="text1"/>
          <w:sz w:val="28"/>
          <w:szCs w:val="28"/>
          <w14:textFill>
            <w14:solidFill>
              <w14:schemeClr w14:val="tx1"/>
            </w14:solidFill>
          </w14:textFill>
        </w:rPr>
        <w:t>处理</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对档案扫描后的图像进行处理，图像的排列顺序与纸质档案排序要求完全一致；</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图像清晰，分辨率300DPI；无坏死文件，无黑屏；</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图像页码连续，无错页；</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图像须进行纠偏处理；无折叠、遮字或缺损现象，保持图像的完整；</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扫描图像的画幅数与应扫描档案的画幅数一致，无漏扫、重扫或多扫；</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不能一次性完成扫描的A3（含A3）以上幅面档案，须采取分幅扫描而后拼接的方法获得单一图像，拼接后图像与档案原件在视觉上完全一致，无拼接痕迹。</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cs="仿宋_GB2312"/>
          <w:b/>
          <w:bCs/>
          <w:color w:val="000000" w:themeColor="text1"/>
          <w:kern w:val="2"/>
          <w:sz w:val="28"/>
          <w:szCs w:val="28"/>
          <w:lang w:val="en-US" w:eastAsia="zh-CN" w:bidi="ar-SA"/>
          <w14:textFill>
            <w14:solidFill>
              <w14:schemeClr w14:val="tx1"/>
            </w14:solidFill>
          </w14:textFill>
        </w:rPr>
        <w:t>5.</w:t>
      </w:r>
      <w:r>
        <w:rPr>
          <w:rFonts w:hint="eastAsia" w:ascii="仿宋_GB2312" w:hAnsi="仿宋_GB2312" w:eastAsia="仿宋_GB2312" w:cs="仿宋_GB2312"/>
          <w:b/>
          <w:bCs/>
          <w:color w:val="000000" w:themeColor="text1"/>
          <w:sz w:val="28"/>
          <w:szCs w:val="28"/>
          <w14:textFill>
            <w14:solidFill>
              <w14:schemeClr w14:val="tx1"/>
            </w14:solidFill>
          </w14:textFill>
        </w:rPr>
        <w:t>数据审核</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图像处理中不得损坏原有档案信息的完整。</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目录数据库与纸质目录保持一致。</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档案装订：检查所有档案的装订还原情况，差错率≤1‰。</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扫描图像：漏扫率≤0.2‰。</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图像质量：=300DPI。</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图像文件命名：差错率≤1‰。</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条目与图像挂接：挂接正确率100%。</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cs="仿宋_GB2312"/>
          <w:b/>
          <w:bCs/>
          <w:color w:val="000000" w:themeColor="text1"/>
          <w:kern w:val="2"/>
          <w:sz w:val="28"/>
          <w:szCs w:val="28"/>
          <w:lang w:val="en-US" w:eastAsia="zh-CN" w:bidi="ar-SA"/>
          <w14:textFill>
            <w14:solidFill>
              <w14:schemeClr w14:val="tx1"/>
            </w14:solidFill>
          </w14:textFill>
        </w:rPr>
        <w:t>6.</w:t>
      </w:r>
      <w:r>
        <w:rPr>
          <w:rFonts w:hint="eastAsia" w:ascii="仿宋_GB2312" w:hAnsi="仿宋_GB2312" w:eastAsia="仿宋_GB2312" w:cs="仿宋_GB2312"/>
          <w:b/>
          <w:bCs/>
          <w:color w:val="000000" w:themeColor="text1"/>
          <w:sz w:val="28"/>
          <w:szCs w:val="28"/>
          <w14:textFill>
            <w14:solidFill>
              <w14:schemeClr w14:val="tx1"/>
            </w14:solidFill>
          </w14:textFill>
        </w:rPr>
        <w:t>档案装订归库</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经核对无误的档案，按《干部档案整理细则》要求进行装订，不可有漏装掉页情况出现，也不可损害文件字符影响阅读，不能损毁档案原件。</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及时将装订完毕的档案上交采购方工作人员清点收入库并做好交接确认工作，交接需有相关的交接单。</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cs="仿宋_GB2312"/>
          <w:b/>
          <w:bCs/>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bCs/>
          <w:color w:val="000000" w:themeColor="text1"/>
          <w:sz w:val="28"/>
          <w:szCs w:val="28"/>
          <w14:textFill>
            <w14:solidFill>
              <w14:schemeClr w14:val="tx1"/>
            </w14:solidFill>
          </w14:textFill>
        </w:rPr>
        <w:t>数据挂接正确性质检</w:t>
      </w:r>
    </w:p>
    <w:p>
      <w:pPr>
        <w:keepNext w:val="0"/>
        <w:keepLines w:val="0"/>
        <w:pageBreakBefore w:val="0"/>
        <w:widowControl w:val="0"/>
        <w:kinsoku/>
        <w:wordWrap/>
        <w:overflowPunct/>
        <w:topLinePunct w:val="0"/>
        <w:bidi w:val="0"/>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质检人员检查数字化成品文件与目录挂接是否正确，不达标返回重新修正。</w:t>
      </w:r>
    </w:p>
    <w:p>
      <w:pPr>
        <w:keepNext w:val="0"/>
        <w:keepLines w:val="0"/>
        <w:pageBreakBefore w:val="0"/>
        <w:widowControl w:val="0"/>
        <w:kinsoku/>
        <w:wordWrap/>
        <w:overflowPunct/>
        <w:topLinePunct w:val="0"/>
        <w:bidi w:val="0"/>
        <w:snapToGrid/>
        <w:spacing w:line="480" w:lineRule="exact"/>
        <w:ind w:left="0" w:leftChars="0" w:right="0" w:rightChars="0"/>
        <w:jc w:val="both"/>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cs="仿宋_GB2312"/>
          <w:b/>
          <w:bCs/>
          <w:color w:val="000000" w:themeColor="text1"/>
          <w:kern w:val="2"/>
          <w:sz w:val="28"/>
          <w:szCs w:val="28"/>
          <w:lang w:val="en-US" w:eastAsia="zh-CN" w:bidi="ar-SA"/>
          <w14:textFill>
            <w14:solidFill>
              <w14:schemeClr w14:val="tx1"/>
            </w14:solidFill>
          </w14:textFill>
        </w:rPr>
        <w:t>8.</w:t>
      </w:r>
      <w:r>
        <w:rPr>
          <w:rFonts w:hint="eastAsia"/>
          <w:b/>
          <w:bCs/>
          <w:lang w:val="en-US" w:eastAsia="zh-CN"/>
        </w:rPr>
        <w:t>数据</w:t>
      </w:r>
      <w:r>
        <w:rPr>
          <w:rFonts w:hint="eastAsia" w:ascii="仿宋_GB2312" w:hAnsi="仿宋_GB2312" w:eastAsia="仿宋_GB2312" w:cs="仿宋_GB2312"/>
          <w:b/>
          <w:bCs/>
          <w:color w:val="000000" w:themeColor="text1"/>
          <w:sz w:val="28"/>
          <w:szCs w:val="28"/>
          <w14:textFill>
            <w14:solidFill>
              <w14:schemeClr w14:val="tx1"/>
            </w14:solidFill>
          </w14:textFill>
        </w:rPr>
        <w:t>备份</w:t>
      </w:r>
    </w:p>
    <w:p>
      <w:pPr>
        <w:pageBreakBefore w:val="0"/>
        <w:widowControl w:val="0"/>
        <w:kinsoku/>
        <w:wordWrap/>
        <w:overflowPunct/>
        <w:topLinePunct w:val="0"/>
        <w:bidi w:val="0"/>
        <w:snapToGrid/>
        <w:spacing w:line="480" w:lineRule="exact"/>
        <w:ind w:right="0" w:rightChars="0" w:firstLine="560" w:firstLineChars="200"/>
        <w:jc w:val="both"/>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项目验收后，提供干部数字档案数据备份，硬盘备份提交后双方签字登记确认。</w:t>
      </w:r>
    </w:p>
    <w:p>
      <w:pPr>
        <w:pStyle w:val="7"/>
        <w:pageBreakBefore w:val="0"/>
        <w:widowControl w:val="0"/>
        <w:kinsoku/>
        <w:wordWrap/>
        <w:overflowPunct/>
        <w:topLinePunct w:val="0"/>
        <w:bidi w:val="0"/>
        <w:snapToGrid/>
        <w:spacing w:before="0" w:after="0" w:line="480" w:lineRule="exact"/>
        <w:ind w:right="0" w:rightChars="0"/>
        <w:jc w:val="both"/>
        <w:textAlignment w:val="auto"/>
        <w:rPr>
          <w:rFonts w:hint="default"/>
          <w:lang w:val="en-US" w:eastAsia="zh-CN"/>
        </w:rPr>
      </w:pPr>
      <w:r>
        <w:rPr>
          <w:rFonts w:hint="default"/>
          <w:lang w:val="en-US" w:eastAsia="zh-CN"/>
        </w:rPr>
        <w:t>干部人事档案数字化</w:t>
      </w:r>
      <w:r>
        <w:rPr>
          <w:rFonts w:hint="eastAsia"/>
          <w:lang w:val="en-US" w:eastAsia="zh-CN"/>
        </w:rPr>
        <w:t>全过程</w:t>
      </w:r>
      <w:r>
        <w:rPr>
          <w:rFonts w:hint="default"/>
          <w:lang w:val="en-US" w:eastAsia="zh-CN"/>
        </w:rPr>
        <w:t>服务</w:t>
      </w:r>
    </w:p>
    <w:p>
      <w:pPr>
        <w:pStyle w:val="8"/>
        <w:pageBreakBefore w:val="0"/>
        <w:widowControl w:val="0"/>
        <w:kinsoku/>
        <w:wordWrap/>
        <w:overflowPunct/>
        <w:topLinePunct w:val="0"/>
        <w:bidi w:val="0"/>
        <w:snapToGrid/>
        <w:spacing w:before="0" w:after="0" w:line="480" w:lineRule="exact"/>
        <w:ind w:right="0" w:rightChars="0"/>
        <w:jc w:val="both"/>
        <w:textAlignment w:val="auto"/>
        <w:rPr>
          <w:rFonts w:hint="eastAsia"/>
          <w:lang w:val="en-US" w:eastAsia="zh-CN"/>
        </w:rPr>
      </w:pPr>
      <w:r>
        <w:rPr>
          <w:rFonts w:hint="eastAsia"/>
          <w:lang w:val="en-US" w:eastAsia="zh-CN"/>
        </w:rPr>
        <w:t>人员要求</w:t>
      </w:r>
    </w:p>
    <w:p>
      <w:pPr>
        <w:pageBreakBefore w:val="0"/>
        <w:widowControl w:val="0"/>
        <w:kinsoku/>
        <w:wordWrap/>
        <w:overflowPunct/>
        <w:topLinePunct w:val="0"/>
        <w:bidi w:val="0"/>
        <w:snapToGrid/>
        <w:spacing w:line="480" w:lineRule="exact"/>
        <w:ind w:right="0" w:rightChars="0" w:firstLine="560" w:firstLineChars="200"/>
        <w:jc w:val="both"/>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项目运行期间</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需要</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安排</w:t>
      </w:r>
      <w:r>
        <w:rPr>
          <w:rFonts w:hint="eastAsia" w:ascii="仿宋_GB2312" w:hAnsi="仿宋_GB2312" w:eastAsia="仿宋_GB2312" w:cs="仿宋_GB2312"/>
          <w:bCs/>
          <w:color w:val="000000" w:themeColor="text1"/>
          <w:sz w:val="28"/>
          <w:szCs w:val="28"/>
          <w14:textFill>
            <w14:solidFill>
              <w14:schemeClr w14:val="tx1"/>
            </w14:solidFill>
          </w14:textFill>
        </w:rPr>
        <w:t>档案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数字化操作专员进行为期</w:t>
      </w:r>
      <w:r>
        <w:rPr>
          <w:rFonts w:hint="eastAsia" w:ascii="仿宋_GB2312" w:hAnsi="仿宋_GB2312" w:cs="仿宋_GB2312"/>
          <w:bCs/>
          <w:color w:val="000000" w:themeColor="text1"/>
          <w:sz w:val="28"/>
          <w:szCs w:val="28"/>
          <w:lang w:val="en-US" w:eastAsia="zh-CN"/>
          <w14:textFill>
            <w14:solidFill>
              <w14:schemeClr w14:val="tx1"/>
            </w14:solidFill>
          </w14:textFill>
        </w:rPr>
        <w:t>18个月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的干部人事档案数字化</w:t>
      </w:r>
      <w:r>
        <w:rPr>
          <w:rFonts w:hint="eastAsia" w:ascii="仿宋_GB2312" w:hAnsi="仿宋_GB2312" w:cs="仿宋_GB2312"/>
          <w:bCs/>
          <w:color w:val="000000" w:themeColor="text1"/>
          <w:sz w:val="28"/>
          <w:szCs w:val="28"/>
          <w:lang w:val="en-US" w:eastAsia="zh-CN"/>
          <w14:textFill>
            <w14:solidFill>
              <w14:schemeClr w14:val="tx1"/>
            </w14:solidFill>
          </w14:textFill>
        </w:rPr>
        <w:t>全过程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服务。</w:t>
      </w:r>
    </w:p>
    <w:p>
      <w:pPr>
        <w:pStyle w:val="8"/>
        <w:pageBreakBefore w:val="0"/>
        <w:widowControl w:val="0"/>
        <w:kinsoku/>
        <w:wordWrap/>
        <w:overflowPunct/>
        <w:topLinePunct w:val="0"/>
        <w:bidi w:val="0"/>
        <w:snapToGrid/>
        <w:spacing w:before="0" w:after="0" w:line="480" w:lineRule="exact"/>
        <w:ind w:right="0" w:rightChars="0"/>
        <w:jc w:val="both"/>
        <w:textAlignment w:val="auto"/>
        <w:rPr>
          <w:rFonts w:hint="default"/>
          <w:lang w:val="en-US" w:eastAsia="zh-CN"/>
        </w:rPr>
      </w:pPr>
      <w:r>
        <w:rPr>
          <w:rFonts w:hint="eastAsia"/>
          <w:lang w:val="en-US" w:eastAsia="zh-CN"/>
        </w:rPr>
        <w:t>工作内容</w:t>
      </w:r>
    </w:p>
    <w:p>
      <w:pPr>
        <w:pageBreakBefore w:val="0"/>
        <w:widowControl w:val="0"/>
        <w:numPr>
          <w:ilvl w:val="0"/>
          <w:numId w:val="2"/>
        </w:numPr>
        <w:kinsoku/>
        <w:wordWrap/>
        <w:overflowPunct/>
        <w:topLinePunct w:val="0"/>
        <w:bidi w:val="0"/>
        <w:snapToGrid/>
        <w:spacing w:line="480" w:lineRule="exact"/>
        <w:ind w:left="-62" w:leftChars="0" w:right="0" w:rightChars="0" w:firstLine="482" w:firstLine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rPr>
        <w:t>对新接收的各类纸质干部档案材料进行整理和加工。</w:t>
      </w:r>
      <w:r>
        <w:rPr>
          <w:rFonts w:hint="eastAsia" w:ascii="仿宋_GB2312" w:hAnsi="仿宋_GB2312" w:eastAsia="仿宋_GB2312" w:cs="仿宋_GB2312"/>
          <w:b w:val="0"/>
          <w:bCs w:val="0"/>
          <w:sz w:val="28"/>
          <w:szCs w:val="28"/>
        </w:rPr>
        <w:t>（1）纸质整理，包括材料鉴别、归档、分类、排序、编目、技术加工（裁边、粘贴、修裱）等；（2）数字化加工，包括目录的</w:t>
      </w:r>
      <w:r>
        <w:rPr>
          <w:rFonts w:hint="eastAsia" w:ascii="仿宋_GB2312" w:hAnsi="仿宋_GB2312" w:eastAsia="仿宋_GB2312" w:cs="仿宋_GB2312"/>
          <w:b w:val="0"/>
          <w:bCs w:val="0"/>
          <w:sz w:val="28"/>
          <w:szCs w:val="28"/>
          <w:lang w:val="en-US" w:eastAsia="zh-CN"/>
        </w:rPr>
        <w:t>录</w:t>
      </w:r>
      <w:r>
        <w:rPr>
          <w:rFonts w:hint="eastAsia" w:ascii="仿宋_GB2312" w:hAnsi="仿宋_GB2312" w:eastAsia="仿宋_GB2312" w:cs="仿宋_GB2312"/>
          <w:b w:val="0"/>
          <w:bCs w:val="0"/>
          <w:sz w:val="28"/>
          <w:szCs w:val="28"/>
        </w:rPr>
        <w:t>入、材料扫描、原始图像处理、质检核对等。</w:t>
      </w:r>
    </w:p>
    <w:p>
      <w:pPr>
        <w:pageBreakBefore w:val="0"/>
        <w:widowControl w:val="0"/>
        <w:numPr>
          <w:ilvl w:val="0"/>
          <w:numId w:val="2"/>
        </w:numPr>
        <w:kinsoku/>
        <w:wordWrap/>
        <w:overflowPunct/>
        <w:topLinePunct w:val="0"/>
        <w:bidi w:val="0"/>
        <w:snapToGrid/>
        <w:spacing w:line="480" w:lineRule="exact"/>
        <w:ind w:left="-62" w:leftChars="0" w:right="0" w:rightChars="0" w:firstLine="482" w:firstLineChars="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干部档案数据库中原有数字档案校对。</w:t>
      </w:r>
      <w:r>
        <w:rPr>
          <w:rFonts w:hint="eastAsia" w:ascii="仿宋_GB2312" w:hAnsi="仿宋_GB2312" w:eastAsia="仿宋_GB2312" w:cs="仿宋_GB2312"/>
          <w:b w:val="0"/>
          <w:bCs w:val="0"/>
          <w:sz w:val="28"/>
          <w:szCs w:val="28"/>
          <w:lang w:eastAsia="zh-CN"/>
        </w:rPr>
        <w:t>对原加工完成的在职干部数字档案进行纠错，提高数字档案的准确性和完整性，减少差错，为开展网络查询服务做好内容保障。与纸质档案逐本逐页逐条校对，登记缺少的重要材料，对新接收的档案材料进行整理和数字化加工。</w:t>
      </w:r>
    </w:p>
    <w:p>
      <w:pPr>
        <w:pageBreakBefore w:val="0"/>
        <w:widowControl w:val="0"/>
        <w:numPr>
          <w:ilvl w:val="0"/>
          <w:numId w:val="2"/>
        </w:numPr>
        <w:kinsoku/>
        <w:wordWrap/>
        <w:overflowPunct/>
        <w:topLinePunct w:val="0"/>
        <w:bidi w:val="0"/>
        <w:snapToGrid/>
        <w:spacing w:line="480" w:lineRule="exact"/>
        <w:ind w:left="-62" w:leftChars="0" w:right="0" w:rightChars="0" w:firstLine="482" w:firstLine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对现管干部任免需归档材料进行加工处理</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sz w:val="28"/>
          <w:szCs w:val="28"/>
          <w:lang w:eastAsia="zh-CN"/>
        </w:rPr>
        <w:t>现管干部任免审批表填写审批机关意见等信息，连同考察材料等盖章后归入干部档案</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p>
    <w:p>
      <w:pPr>
        <w:pStyle w:val="9"/>
        <w:keepNext w:val="0"/>
        <w:keepLines w:val="0"/>
        <w:pageBreakBefore w:val="0"/>
        <w:widowControl w:val="0"/>
        <w:numPr>
          <w:ilvl w:val="0"/>
          <w:numId w:val="3"/>
        </w:numPr>
        <w:kinsoku/>
        <w:wordWrap/>
        <w:overflowPunct/>
        <w:topLinePunct w:val="0"/>
        <w:autoSpaceDE/>
        <w:autoSpaceDN/>
        <w:bidi w:val="0"/>
        <w:adjustRightInd/>
        <w:snapToGrid/>
        <w:spacing w:before="0" w:line="480" w:lineRule="exact"/>
        <w:ind w:right="0" w:rightChars="0" w:firstLine="562" w:firstLineChars="200"/>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新任现管干部档案初步审核。</w:t>
      </w:r>
      <w:r>
        <w:rPr>
          <w:rFonts w:hint="eastAsia" w:ascii="仿宋_GB2312" w:hAnsi="仿宋_GB2312" w:eastAsia="仿宋_GB2312" w:cs="仿宋_GB2312"/>
          <w:b w:val="0"/>
          <w:bCs w:val="0"/>
          <w:kern w:val="2"/>
          <w:sz w:val="28"/>
          <w:szCs w:val="28"/>
          <w:lang w:val="en-US" w:eastAsia="zh-CN" w:bidi="ar-SA"/>
        </w:rPr>
        <w:t>按照要求进行纸质档案和数字档案的初步审核，查漏补缺，指出存在的问题；初检不合格，退回整改；初检合格的，交管档人员复审通过后，将纸质档案入库，数字档案导入数据库，确保能够提供利用。</w:t>
      </w:r>
    </w:p>
    <w:p>
      <w:pPr>
        <w:pStyle w:val="9"/>
        <w:keepNext w:val="0"/>
        <w:keepLines w:val="0"/>
        <w:pageBreakBefore w:val="0"/>
        <w:widowControl w:val="0"/>
        <w:numPr>
          <w:ilvl w:val="0"/>
          <w:numId w:val="3"/>
        </w:numPr>
        <w:kinsoku/>
        <w:wordWrap/>
        <w:overflowPunct/>
        <w:topLinePunct w:val="0"/>
        <w:autoSpaceDE/>
        <w:autoSpaceDN/>
        <w:bidi w:val="0"/>
        <w:adjustRightInd/>
        <w:snapToGrid/>
        <w:spacing w:before="0" w:line="480" w:lineRule="exact"/>
        <w:ind w:right="0" w:rightChars="0" w:firstLine="562" w:firstLineChars="200"/>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干部档案数字化加工。</w:t>
      </w:r>
      <w:r>
        <w:rPr>
          <w:rFonts w:hint="eastAsia" w:ascii="仿宋_GB2312" w:hAnsi="仿宋_GB2312" w:eastAsia="仿宋_GB2312" w:cs="仿宋_GB2312"/>
          <w:b w:val="0"/>
          <w:bCs w:val="0"/>
          <w:kern w:val="2"/>
          <w:sz w:val="28"/>
          <w:szCs w:val="28"/>
          <w:lang w:val="en-US" w:eastAsia="zh-CN" w:bidi="ar-SA"/>
        </w:rPr>
        <w:t>对库房内尚未进行数字化的干部档案进行加工，在干部档案数据库进行信息采集、目录录入、扫描、原始图像处理、质检（数据校验、纸质档案与数字档案两者之间逐一比对）、提交验收、数据备份等。</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line="480" w:lineRule="exact"/>
        <w:ind w:right="0" w:rightChars="0" w:firstLine="562" w:firstLineChars="200"/>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kern w:val="2"/>
          <w:sz w:val="28"/>
          <w:szCs w:val="28"/>
          <w:lang w:val="en-US" w:eastAsia="zh-CN" w:bidi="ar-SA"/>
        </w:rPr>
        <w:t>6.</w:t>
      </w:r>
      <w:r>
        <w:rPr>
          <w:rFonts w:hint="eastAsia" w:ascii="仿宋_GB2312" w:hAnsi="仿宋_GB2312" w:eastAsia="仿宋_GB2312" w:cs="仿宋_GB2312"/>
          <w:b/>
          <w:bCs/>
          <w:kern w:val="2"/>
          <w:sz w:val="28"/>
          <w:szCs w:val="28"/>
          <w:lang w:val="en-US" w:eastAsia="zh-CN" w:bidi="ar-SA"/>
        </w:rPr>
        <w:t>负责甲方交办的其他人事档案工作。</w:t>
      </w:r>
    </w:p>
    <w:p>
      <w:pPr>
        <w:pStyle w:val="8"/>
        <w:pageBreakBefore w:val="0"/>
        <w:widowControl w:val="0"/>
        <w:kinsoku/>
        <w:wordWrap/>
        <w:overflowPunct/>
        <w:topLinePunct w:val="0"/>
        <w:bidi w:val="0"/>
        <w:snapToGrid/>
        <w:spacing w:before="0" w:after="0" w:line="480" w:lineRule="exact"/>
        <w:ind w:right="0" w:rightChars="0"/>
        <w:jc w:val="both"/>
        <w:textAlignment w:val="auto"/>
        <w:rPr>
          <w:rFonts w:hint="default"/>
          <w:lang w:val="en-US" w:eastAsia="zh-CN"/>
        </w:rPr>
      </w:pPr>
      <w:r>
        <w:rPr>
          <w:rFonts w:hint="eastAsia"/>
          <w:lang w:val="en-US" w:eastAsia="zh-CN"/>
        </w:rPr>
        <w:t>工作要求</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1.2.2.3.1整理编码</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将零散材料补充至干部档案中；</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严格把关四类、九类的分类和排序标准；</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严格把关每份材料的类号、页码编注标准；</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档案材料排序完成后，用铅笔在每份材料首页的右上角编上类号和顺序号，并在其右下角编写页码。</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1.2.2.3.2查漏补缺</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根据《干部档案审核工作检查验收评分表》对干部档案进行检查，并登记存在问题并形成查缺单，对不属于归档范围或重件的材料进行鉴别。</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1.2.2.3.3目录录入</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严格准确地进行档案目录录入，具体标准如下：逐份录入，不多录、少录；</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录入目录内容与档案内容完全一致，不错录。</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1.2.2.3.4档案扫描</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根据档案的材质选用平板扫描方式，扫描时档案摆放与扫描仪四角平行，不对档案原件造成破坏，保证档案扫描图像与原件一致、整洁、清晰；</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对拟扫描档案逐页进行检查，档案严重破损、污染和字迹褪变情况应在《扫描档案登记表》相应栏中标注清楚 “原件破损”、“原件模糊”、“原件残缺”等情况说明，影响扫描工作进行的档案，应在注意保护档案不受损害的情况下进行拆件；</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采用彩色单页jpg的存储格式，扫描分辨率不得低于300dpi，图片文件成品数据为24bit真彩JPG压缩格式；</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按照《干部档案整理工作细则》，每份档案须按十大类按顺序进行扫描操作；</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对年代较早、纸质较差、脆、薄的页必须使用平板扫描，不得使用高速扫描以免档案破损；</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对纸质较薄，透明的页必须垫白纸扫描，避免前后内容透视重叠；</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扫描完成后必须正确排列档案文件和页面顺序。</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1.2.2.3.5原始图像处理</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对档案扫描后的图像进行处理，图像的排列顺序与纸质档案排序要求完全一致；</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图像清晰，分辨率300DPI；无坏死文件，无黑屏；</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图像页码连续，无错页；</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图像须进行纠偏处理；无折叠、遮字或缺损现象，保持图像的完整；</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扫描图像的画幅数与应扫描档案的画幅数一致，无漏扫、重扫或多扫；</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不能一次性完成扫描的A3（含A3）以上幅面档案，须采取分幅扫描而后拼接的方法获得单一图像，拼接后图像与档案原件在视觉上完全一致，无拼接痕迹。</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1.2.2.3.6高清图像制作</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在原始图像质量基础上：图像的排列顺序与原始图像排序要求一致；图像去掉污斑、黑点、黑边，肉眼观看能达到清晰、平直、干净；版面要进行自动居中操作；图像同原始图像相比不能过浓或过淡，字迹清晰。</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1.2.2.3.7数据校验</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图像处理中不得损坏原有档案信息的完整。</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目录数据库与纸质目录保持一致。</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档案装订：检查所有档案的装订还原情况，差错率≤1‰。</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扫描图像：漏扫率≤0.2‰。</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图像质量：=300DPI。</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图像文件命名：差错率≤1‰。</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条目与图像挂接：挂接正确率100%。</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1.2.2.3.8档案装订归库</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经核对无误的档案，按《干部档案整理细则》要求进行装订，不可有漏装掉页情况出现，也不可损害文件字符影响阅读，不能损毁档案原件。</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及时将装订完毕的档案上交采购方工作人员清点收入库并做好交接确认工作，交接需有相关的交接单。</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1.2.2.3.9数据挂接正确性质检</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质检人员检查数字化成品文件与目录挂接是否正确，不达标返回重新修正。</w:t>
      </w:r>
    </w:p>
    <w:p>
      <w:pPr>
        <w:pageBreakBefore w:val="0"/>
        <w:widowControl w:val="0"/>
        <w:kinsoku/>
        <w:wordWrap/>
        <w:overflowPunct/>
        <w:topLinePunct w:val="0"/>
        <w:bidi w:val="0"/>
        <w:snapToGrid/>
        <w:spacing w:line="480" w:lineRule="exact"/>
        <w:ind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1.2.2.3.10数据备份</w:t>
      </w:r>
    </w:p>
    <w:p>
      <w:pPr>
        <w:pageBreakBefore w:val="0"/>
        <w:widowControl w:val="0"/>
        <w:kinsoku/>
        <w:wordWrap/>
        <w:overflowPunct/>
        <w:topLinePunct w:val="0"/>
        <w:bidi w:val="0"/>
        <w:snapToGrid/>
        <w:spacing w:line="480" w:lineRule="exact"/>
        <w:ind w:right="0" w:rightChars="0"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项目验收后，提供干部数字档案数据库备份，硬盘备份提交后双方签字登记确认。</w:t>
      </w:r>
    </w:p>
    <w:p>
      <w:pPr>
        <w:pStyle w:val="7"/>
        <w:pageBreakBefore w:val="0"/>
        <w:widowControl w:val="0"/>
        <w:kinsoku/>
        <w:wordWrap/>
        <w:overflowPunct/>
        <w:topLinePunct w:val="0"/>
        <w:bidi w:val="0"/>
        <w:snapToGrid/>
        <w:spacing w:before="0" w:after="0" w:line="480" w:lineRule="exact"/>
        <w:ind w:right="0" w:rightChars="0"/>
        <w:textAlignment w:val="auto"/>
        <w:rPr>
          <w:rFonts w:hint="default"/>
          <w:lang w:val="en-US" w:eastAsia="zh-CN"/>
        </w:rPr>
      </w:pPr>
      <w:r>
        <w:rPr>
          <w:rFonts w:hint="eastAsia"/>
          <w:lang w:val="en-US" w:eastAsia="zh-CN"/>
        </w:rPr>
        <w:t>相关硬件设备采购</w:t>
      </w:r>
    </w:p>
    <w:tbl>
      <w:tblPr>
        <w:tblStyle w:val="18"/>
        <w:tblW w:w="977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158"/>
        <w:gridCol w:w="7203"/>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651" w:type="dxa"/>
            <w:vAlign w:val="center"/>
          </w:tcPr>
          <w:p>
            <w:pPr>
              <w:pageBreakBefore w:val="0"/>
              <w:widowControl w:val="0"/>
              <w:kinsoku/>
              <w:wordWrap/>
              <w:overflowPunct/>
              <w:topLinePunct w:val="0"/>
              <w:bidi w:val="0"/>
              <w:snapToGrid/>
              <w:spacing w:line="480" w:lineRule="exact"/>
              <w:ind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58" w:type="dxa"/>
            <w:vAlign w:val="center"/>
          </w:tcPr>
          <w:p>
            <w:pPr>
              <w:pStyle w:val="19"/>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7203" w:type="dxa"/>
            <w:vAlign w:val="center"/>
          </w:tcPr>
          <w:p>
            <w:pPr>
              <w:pStyle w:val="19"/>
              <w:pageBreakBefore w:val="0"/>
              <w:widowControl w:val="0"/>
              <w:kinsoku/>
              <w:wordWrap/>
              <w:overflowPunct/>
              <w:topLinePunct w:val="0"/>
              <w:bidi w:val="0"/>
              <w:snapToGrid/>
              <w:spacing w:line="480" w:lineRule="exact"/>
              <w:ind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技术参数及要求</w:t>
            </w:r>
          </w:p>
        </w:tc>
        <w:tc>
          <w:tcPr>
            <w:tcW w:w="764" w:type="dxa"/>
          </w:tcPr>
          <w:p>
            <w:pPr>
              <w:pStyle w:val="19"/>
              <w:pageBreakBefore w:val="0"/>
              <w:widowControl w:val="0"/>
              <w:kinsoku/>
              <w:wordWrap/>
              <w:overflowPunct/>
              <w:topLinePunct w:val="0"/>
              <w:bidi w:val="0"/>
              <w:snapToGrid/>
              <w:spacing w:line="480" w:lineRule="exact"/>
              <w:ind w:left="235" w:right="0" w:rightChars="0"/>
              <w:textAlignment w:val="auto"/>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4" w:hRule="atLeast"/>
        </w:trPr>
        <w:tc>
          <w:tcPr>
            <w:tcW w:w="651" w:type="dxa"/>
            <w:vAlign w:val="center"/>
          </w:tcPr>
          <w:p>
            <w:pPr>
              <w:pageBreakBefore w:val="0"/>
              <w:widowControl w:val="0"/>
              <w:kinsoku/>
              <w:wordWrap/>
              <w:overflowPunct/>
              <w:topLinePunct w:val="0"/>
              <w:bidi w:val="0"/>
              <w:snapToGrid/>
              <w:spacing w:line="480" w:lineRule="exact"/>
              <w:ind w:right="0" w:rightChars="0"/>
              <w:jc w:val="center"/>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158" w:type="dxa"/>
            <w:vAlign w:val="center"/>
          </w:tcPr>
          <w:p>
            <w:pPr>
              <w:pStyle w:val="19"/>
              <w:pageBreakBefore w:val="0"/>
              <w:widowControl w:val="0"/>
              <w:kinsoku/>
              <w:wordWrap/>
              <w:overflowPunct/>
              <w:topLinePunct w:val="0"/>
              <w:bidi w:val="0"/>
              <w:snapToGrid/>
              <w:spacing w:line="480" w:lineRule="exact"/>
              <w:ind w:right="0" w:rightChars="0"/>
              <w:jc w:val="center"/>
              <w:textAlignment w:val="auto"/>
              <w:rPr>
                <w:rFonts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lang w:eastAsia="zh-CN"/>
              </w:rPr>
              <w:t>干部人事档案管理智能柜</w:t>
            </w:r>
          </w:p>
        </w:tc>
        <w:tc>
          <w:tcPr>
            <w:tcW w:w="720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一、整体规格与性能​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档案柜规格设计科学合理，尺寸适配常规存放环境与档案管理需求，</w:t>
            </w:r>
            <w:r>
              <w:rPr>
                <w:rFonts w:hint="eastAsia" w:ascii="仿宋_GB2312" w:hAnsi="仿宋_GB2312" w:cs="仿宋_GB2312"/>
                <w:color w:val="auto"/>
                <w:kern w:val="0"/>
                <w:sz w:val="24"/>
                <w:szCs w:val="24"/>
                <w:highlight w:val="none"/>
                <w:lang w:eastAsia="zh-CN" w:bidi="ar"/>
              </w:rPr>
              <w:t>可与现有干部档案智慧管理系统对接，可与现有智能柜串联适配（现有的智能柜尺寸为柜长</w:t>
            </w:r>
            <w:r>
              <w:rPr>
                <w:rFonts w:hint="eastAsia" w:ascii="仿宋_GB2312" w:hAnsi="仿宋_GB2312" w:cs="仿宋_GB2312"/>
                <w:color w:val="auto"/>
                <w:kern w:val="0"/>
                <w:sz w:val="24"/>
                <w:szCs w:val="24"/>
                <w:highlight w:val="none"/>
                <w:lang w:val="en-US" w:eastAsia="zh-CN" w:bidi="ar"/>
              </w:rPr>
              <w:t>1090mm、柜宽400mm、柜高1968mm,仓储容量144卷，可对接局域网、干部档案智慧管理平台和智能盘库系统），</w:t>
            </w:r>
            <w:r>
              <w:rPr>
                <w:rFonts w:hint="eastAsia" w:ascii="仿宋_GB2312" w:hAnsi="仿宋_GB2312" w:eastAsia="仿宋_GB2312" w:cs="仿宋_GB2312"/>
                <w:color w:val="auto"/>
                <w:kern w:val="0"/>
                <w:sz w:val="24"/>
                <w:szCs w:val="24"/>
                <w:highlight w:val="none"/>
                <w:lang w:bidi="ar"/>
              </w:rPr>
              <w:t>承载能力强大，可稳固存放大量档案资料，自身结构扎实，在保障大容量存储的同时，确保长期使用的稳定性与安全性。​</w:t>
            </w:r>
            <w:r>
              <w:rPr>
                <w:rFonts w:hint="eastAsia" w:ascii="仿宋_GB2312" w:hAnsi="仿宋_GB2312" w:cs="仿宋_GB2312"/>
                <w:color w:val="auto"/>
                <w:kern w:val="0"/>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二、核心功能特性​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（一）智能指示灯系统​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配备三色指示灯，与</w:t>
            </w:r>
            <w:r>
              <w:rPr>
                <w:rFonts w:hint="eastAsia" w:ascii="仿宋_GB2312" w:hAnsi="仿宋_GB2312" w:cs="仿宋_GB2312"/>
                <w:color w:val="auto"/>
                <w:kern w:val="0"/>
                <w:sz w:val="24"/>
                <w:szCs w:val="24"/>
                <w:highlight w:val="none"/>
                <w:lang w:val="en-US" w:eastAsia="zh-CN" w:bidi="ar"/>
              </w:rPr>
              <w:t>福建省委组织部干部人事档案全生命周期智慧管理平台三色亮灯</w:t>
            </w:r>
            <w:r>
              <w:rPr>
                <w:rFonts w:hint="eastAsia" w:ascii="仿宋_GB2312" w:hAnsi="仿宋_GB2312" w:eastAsia="仿宋_GB2312" w:cs="仿宋_GB2312"/>
                <w:color w:val="auto"/>
                <w:kern w:val="0"/>
                <w:sz w:val="24"/>
                <w:szCs w:val="24"/>
                <w:highlight w:val="none"/>
                <w:lang w:bidi="ar"/>
              </w:rPr>
              <w:t>显示机制深度适配，能直观反映</w:t>
            </w:r>
            <w:r>
              <w:rPr>
                <w:rFonts w:hint="eastAsia" w:ascii="仿宋_GB2312" w:hAnsi="仿宋_GB2312" w:cs="仿宋_GB2312"/>
                <w:color w:val="auto"/>
                <w:kern w:val="0"/>
                <w:sz w:val="24"/>
                <w:szCs w:val="24"/>
                <w:highlight w:val="none"/>
                <w:lang w:val="en-US" w:eastAsia="zh-CN" w:bidi="ar"/>
              </w:rPr>
              <w:t>档案质量</w:t>
            </w:r>
            <w:r>
              <w:rPr>
                <w:rFonts w:hint="eastAsia" w:ascii="仿宋_GB2312" w:hAnsi="仿宋_GB2312" w:eastAsia="仿宋_GB2312" w:cs="仿宋_GB2312"/>
                <w:color w:val="auto"/>
                <w:kern w:val="0"/>
                <w:sz w:val="24"/>
                <w:szCs w:val="24"/>
                <w:highlight w:val="none"/>
                <w:lang w:bidi="ar"/>
              </w:rPr>
              <w:t>状况。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（二）存取响应与定位​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档案存取操作响应迅捷，可实现即时反馈，精准定位档案位置，保障档案存取工作的高效性与准确性，定位精度满足高标准要求。​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（三）环境适应性​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能在广泛的温度、湿度范围内稳定运行，适应多样化的工作环境条件。​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（四）安全防护​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具备完善的安全及保护装置，自动监测故障并及时报警，全方位保障档案安全；供电系统稳定可靠，兼容市电与特定进柜电压，待机功耗低，节能高效。​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三、材质与工艺​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柜体选用优质冷轧板制造，材质坚固耐用；表面采用静电亚光喷塑工艺处理，绝缘性佳、经久耐用，符合国家标准，且具备防尘、防盗、防光、防火等多重防护功能，烤漆表面平整光洁，长期使用不易变色，确保档案柜的实用性与美观性兼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四、操作与控制系统​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可</w:t>
            </w:r>
            <w:r>
              <w:rPr>
                <w:rFonts w:hint="eastAsia" w:ascii="仿宋_GB2312" w:hAnsi="仿宋_GB2312" w:eastAsia="仿宋_GB2312" w:cs="仿宋_GB2312"/>
                <w:color w:val="auto"/>
                <w:kern w:val="0"/>
                <w:sz w:val="24"/>
                <w:szCs w:val="24"/>
                <w:highlight w:val="none"/>
                <w:lang w:bidi="ar"/>
              </w:rPr>
              <w:t>提供多样化操作方式，涵盖机械手动、触摸手动、单机自动、联机自动等模式，满足不同场景与用户的操作需求。​控制系统</w:t>
            </w:r>
            <w:r>
              <w:rPr>
                <w:rFonts w:hint="eastAsia" w:ascii="仿宋_GB2312" w:hAnsi="仿宋_GB2312" w:cs="仿宋_GB2312"/>
                <w:color w:val="auto"/>
                <w:kern w:val="0"/>
                <w:sz w:val="24"/>
                <w:szCs w:val="24"/>
                <w:highlight w:val="none"/>
                <w:lang w:val="en-US" w:eastAsia="zh-CN" w:bidi="ar"/>
              </w:rPr>
              <w:t>应</w:t>
            </w:r>
            <w:r>
              <w:rPr>
                <w:rFonts w:hint="eastAsia" w:ascii="仿宋_GB2312" w:hAnsi="仿宋_GB2312" w:eastAsia="仿宋_GB2312" w:cs="仿宋_GB2312"/>
                <w:color w:val="auto"/>
                <w:kern w:val="0"/>
                <w:sz w:val="24"/>
                <w:szCs w:val="24"/>
                <w:highlight w:val="none"/>
                <w:lang w:bidi="ar"/>
              </w:rPr>
              <w:t>以高性能 MCU 可编程自动控制器为核心，搭配液晶触摸屏设备，实时清晰显示设备运行状态与档案信息。采用实时盘库、智能定位技术，结合 RFID 射频实时监控系统，实现档案无序存放、有序管理，数据传输精准可靠，误帧率低。​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系统支持模糊查询取档、整柜及全库显示预览、库存信息存储、温湿度独立显示等功能；具备批量取档功能，操作便捷高效；柜门控制灵活多样，支持自动、联网远程及应急开门方式，确保档案存取的便利性与安全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五、质量与资质要求​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产品质量严格执行企业标准，整体结构坚固不变形，运行平稳流畅，档案取放便捷不卡顿，微机网络运行稳定，保护系统反应灵敏可靠。供应商需提供档案定位系统相关软件著作权证书，确保产品技术的合法性与专业性。​</w:t>
            </w:r>
          </w:p>
          <w:p>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ascii="仿宋_GB2312" w:hAnsi="仿宋_GB2312" w:eastAsia="仿宋_GB2312" w:cs="仿宋_GB2312"/>
                <w:color w:val="auto"/>
                <w:sz w:val="24"/>
                <w:lang w:eastAsia="zh-CN" w:bidi="ar"/>
              </w:rPr>
            </w:pPr>
            <w:r>
              <w:rPr>
                <w:rFonts w:hint="eastAsia" w:ascii="仿宋_GB2312" w:hAnsi="仿宋_GB2312" w:cs="仿宋_GB2312"/>
                <w:color w:val="auto"/>
                <w:kern w:val="0"/>
                <w:sz w:val="24"/>
                <w:szCs w:val="24"/>
                <w:highlight w:val="none"/>
                <w:lang w:val="en-US" w:eastAsia="zh-CN" w:bidi="ar"/>
              </w:rPr>
              <w:t>六、</w:t>
            </w:r>
            <w:r>
              <w:rPr>
                <w:rFonts w:hint="eastAsia" w:ascii="仿宋_GB2312" w:hAnsi="仿宋_GB2312" w:eastAsia="仿宋_GB2312" w:cs="仿宋_GB2312"/>
                <w:color w:val="auto"/>
                <w:sz w:val="24"/>
                <w:szCs w:val="24"/>
                <w:lang w:eastAsia="zh-CN" w:bidi="ar"/>
              </w:rPr>
              <w:t>提供档案定位系统相关软件著作权证书</w:t>
            </w:r>
            <w:r>
              <w:rPr>
                <w:rFonts w:hint="eastAsia" w:ascii="仿宋_GB2312" w:hAnsi="仿宋_GB2312" w:cs="仿宋_GB2312"/>
                <w:color w:val="auto"/>
                <w:sz w:val="24"/>
                <w:szCs w:val="24"/>
                <w:lang w:eastAsia="zh-CN" w:bidi="ar"/>
              </w:rPr>
              <w:t>。</w:t>
            </w:r>
            <w:bookmarkStart w:id="0" w:name="_GoBack"/>
            <w:bookmarkEnd w:id="0"/>
          </w:p>
        </w:tc>
        <w:tc>
          <w:tcPr>
            <w:tcW w:w="764" w:type="dxa"/>
            <w:vAlign w:val="center"/>
          </w:tcPr>
          <w:p>
            <w:pPr>
              <w:pStyle w:val="19"/>
              <w:pageBreakBefore w:val="0"/>
              <w:widowControl w:val="0"/>
              <w:kinsoku/>
              <w:wordWrap/>
              <w:overflowPunct/>
              <w:topLinePunct w:val="0"/>
              <w:autoSpaceDE/>
              <w:autoSpaceDN/>
              <w:bidi w:val="0"/>
              <w:adjustRightInd/>
              <w:snapToGrid/>
              <w:spacing w:line="480" w:lineRule="exact"/>
              <w:ind w:right="0" w:rightChars="0"/>
              <w:jc w:val="center"/>
              <w:textAlignment w:val="auto"/>
              <w:rPr>
                <w:rFonts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val="en-US" w:eastAsia="zh-CN"/>
              </w:rPr>
              <w:t>1</w:t>
            </w:r>
            <w:r>
              <w:rPr>
                <w:rFonts w:hint="eastAsia" w:ascii="仿宋_GB2312" w:hAnsi="仿宋_GB2312" w:eastAsia="仿宋_GB2312" w:cs="仿宋_GB2312"/>
                <w:spacing w:val="-12"/>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651" w:type="dxa"/>
            <w:vAlign w:val="center"/>
          </w:tcPr>
          <w:p>
            <w:pPr>
              <w:pageBreakBefore w:val="0"/>
              <w:widowControl w:val="0"/>
              <w:kinsoku/>
              <w:wordWrap/>
              <w:overflowPunct/>
              <w:topLinePunct w:val="0"/>
              <w:bidi w:val="0"/>
              <w:snapToGrid/>
              <w:spacing w:line="48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w:t>
            </w:r>
          </w:p>
        </w:tc>
        <w:tc>
          <w:tcPr>
            <w:tcW w:w="1158" w:type="dxa"/>
            <w:vAlign w:val="center"/>
          </w:tcPr>
          <w:p>
            <w:pPr>
              <w:pStyle w:val="19"/>
              <w:pageBreakBefore w:val="0"/>
              <w:widowControl w:val="0"/>
              <w:kinsoku/>
              <w:wordWrap/>
              <w:overflowPunct/>
              <w:topLinePunct w:val="0"/>
              <w:bidi w:val="0"/>
              <w:snapToGrid/>
              <w:spacing w:line="480" w:lineRule="exact"/>
              <w:ind w:right="0" w:rightChars="0"/>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干部人事智能档案盒</w:t>
            </w:r>
          </w:p>
        </w:tc>
        <w:tc>
          <w:tcPr>
            <w:tcW w:w="72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一、干部人事档案盒卷夹（</w:t>
            </w:r>
            <w:r>
              <w:rPr>
                <w:rFonts w:hint="eastAsia" w:ascii="仿宋_GB2312" w:hAnsi="仿宋_GB2312" w:cs="仿宋_GB2312"/>
                <w:color w:val="auto"/>
                <w:sz w:val="24"/>
                <w:szCs w:val="24"/>
                <w:lang w:val="en-US" w:eastAsia="zh-CN" w:bidi="ar"/>
              </w:rPr>
              <w:t>厚度</w:t>
            </w:r>
            <w:r>
              <w:rPr>
                <w:rFonts w:hint="eastAsia" w:ascii="仿宋_GB2312" w:hAnsi="仿宋_GB2312" w:eastAsia="仿宋_GB2312" w:cs="仿宋_GB2312"/>
                <w:color w:val="auto"/>
                <w:sz w:val="24"/>
                <w:szCs w:val="24"/>
                <w:lang w:eastAsia="zh-CN" w:bidi="ar"/>
              </w:rPr>
              <w:t>3.5 厘米）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eastAsia="zh-CN" w:bidi="ar"/>
              </w:rPr>
            </w:pPr>
            <w:r>
              <w:rPr>
                <w:rFonts w:hint="eastAsia" w:ascii="仿宋_GB2312" w:hAnsi="仿宋_GB2312" w:cs="仿宋_GB2312"/>
                <w:color w:val="auto"/>
                <w:sz w:val="24"/>
                <w:szCs w:val="24"/>
                <w:lang w:eastAsia="zh-CN" w:bidi="ar"/>
              </w:rPr>
              <w:t>须与干部人事档案智能</w:t>
            </w:r>
            <w:r>
              <w:rPr>
                <w:rFonts w:hint="eastAsia" w:ascii="仿宋_GB2312" w:hAnsi="仿宋_GB2312" w:eastAsia="仿宋_GB2312" w:cs="仿宋_GB2312"/>
                <w:color w:val="auto"/>
                <w:sz w:val="24"/>
                <w:szCs w:val="24"/>
                <w:lang w:eastAsia="zh-CN" w:bidi="ar"/>
              </w:rPr>
              <w:t>档</w:t>
            </w:r>
            <w:r>
              <w:rPr>
                <w:rFonts w:hint="eastAsia" w:ascii="仿宋_GB2312" w:hAnsi="仿宋_GB2312" w:cs="仿宋_GB2312"/>
                <w:color w:val="auto"/>
                <w:sz w:val="24"/>
                <w:szCs w:val="24"/>
                <w:lang w:eastAsia="zh-CN" w:bidi="ar"/>
              </w:rPr>
              <w:t>柜适配，档案</w:t>
            </w:r>
            <w:r>
              <w:rPr>
                <w:rFonts w:hint="eastAsia" w:ascii="仿宋_GB2312" w:hAnsi="仿宋_GB2312" w:eastAsia="仿宋_GB2312" w:cs="仿宋_GB2312"/>
                <w:color w:val="auto"/>
                <w:sz w:val="24"/>
                <w:szCs w:val="24"/>
                <w:lang w:eastAsia="zh-CN" w:bidi="ar"/>
              </w:rPr>
              <w:t>盒卷夹采用食品级材料制作，安全环保，无任何异味，具备出色的耐腐蚀、耐酸碱、防锈、耐高温性能，同时拥有防虫、防霉、防潮效果，能为档案提供长期稳定的存储环境。卷夹的弹簧选用优质不锈钢精心打造，具有良好的韧性与强度，配合加长的卷夹压条，可根据档案材料的多少灵活调节，确保档案存放稳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eastAsia="zh-CN" w:bidi="ar"/>
              </w:rPr>
            </w:pPr>
            <w:r>
              <w:rPr>
                <w:rFonts w:hint="default" w:ascii="仿宋_GB2312" w:hAnsi="仿宋_GB2312" w:eastAsia="仿宋_GB2312" w:cs="仿宋_GB2312"/>
                <w:color w:val="auto"/>
                <w:sz w:val="24"/>
                <w:szCs w:val="24"/>
                <w:lang w:eastAsia="zh-CN" w:bidi="ar"/>
              </w:rPr>
              <w:t xml:space="preserve">档案卷盒需满足该标准：QB-T2771-2013 </w:t>
            </w:r>
            <w:r>
              <w:rPr>
                <w:rFonts w:hint="eastAsia" w:ascii="仿宋_GB2312" w:hAnsi="仿宋_GB2312" w:eastAsia="仿宋_GB2312" w:cs="仿宋_GB2312"/>
                <w:color w:val="auto"/>
                <w:sz w:val="24"/>
                <w:szCs w:val="24"/>
                <w:lang w:eastAsia="zh-CN" w:bidi="ar"/>
              </w:rPr>
              <w:t>，</w:t>
            </w:r>
            <w:r>
              <w:rPr>
                <w:rFonts w:hint="default" w:ascii="仿宋_GB2312" w:hAnsi="仿宋_GB2312" w:eastAsia="仿宋_GB2312" w:cs="仿宋_GB2312"/>
                <w:color w:val="auto"/>
                <w:sz w:val="24"/>
                <w:szCs w:val="24"/>
                <w:lang w:eastAsia="zh-CN" w:bidi="ar"/>
              </w:rPr>
              <w:t>档案卷盒侧线封合强度不小于 70N （GB/T8808-1988;</w:t>
            </w:r>
            <w:r>
              <w:rPr>
                <w:rFonts w:hint="eastAsia" w:ascii="仿宋_GB2312" w:hAnsi="仿宋_GB2312" w:eastAsia="仿宋_GB2312" w:cs="仿宋_GB2312"/>
                <w:color w:val="auto"/>
                <w:sz w:val="24"/>
                <w:szCs w:val="24"/>
                <w:lang w:eastAsia="zh-CN" w:bidi="ar"/>
              </w:rPr>
              <w:t>具备可靠的物理性能与化学稳定性。卷盒内部装订立柱布局科学合理，便于档案的装订与整理；背脊标签规格标准规范。侧线封合强度，还是负重跌落、折叠等方面，均要达到或超过行业标准，确保在实际使用过程中，能够承受各种操作与环境考验，长久保护档案安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二、电子标签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szCs w:val="24"/>
                <w:lang w:eastAsia="zh-CN" w:bidi="ar"/>
              </w:rPr>
              <w:t>电子标签尺寸适中，便于安装与使用。其</w:t>
            </w:r>
            <w:r>
              <w:rPr>
                <w:rFonts w:hint="default" w:ascii="仿宋_GB2312" w:hAnsi="仿宋_GB2312" w:eastAsia="仿宋_GB2312" w:cs="仿宋_GB2312"/>
                <w:color w:val="auto"/>
                <w:sz w:val="24"/>
                <w:szCs w:val="24"/>
                <w:lang w:eastAsia="zh-CN" w:bidi="ar"/>
              </w:rPr>
              <w:t>通讯协议 144</w:t>
            </w:r>
            <w:r>
              <w:rPr>
                <w:rFonts w:hint="eastAsia" w:ascii="仿宋_GB2312" w:hAnsi="仿宋_GB2312" w:eastAsia="仿宋_GB2312" w:cs="仿宋_GB2312"/>
                <w:color w:val="auto"/>
                <w:sz w:val="24"/>
                <w:szCs w:val="24"/>
                <w:lang w:val="en-US" w:eastAsia="zh-CN" w:bidi="ar"/>
              </w:rPr>
              <w:t>4</w:t>
            </w:r>
            <w:r>
              <w:rPr>
                <w:rFonts w:hint="default" w:ascii="仿宋_GB2312" w:hAnsi="仿宋_GB2312" w:eastAsia="仿宋_GB2312" w:cs="仿宋_GB2312"/>
                <w:color w:val="auto"/>
                <w:sz w:val="24"/>
                <w:szCs w:val="24"/>
                <w:lang w:eastAsia="zh-CN" w:bidi="ar"/>
              </w:rPr>
              <w:t>3A</w:t>
            </w:r>
            <w:r>
              <w:rPr>
                <w:rFonts w:hint="eastAsia" w:ascii="仿宋_GB2312" w:hAnsi="仿宋_GB2312" w:eastAsia="仿宋_GB2312" w:cs="仿宋_GB2312"/>
                <w:color w:val="auto"/>
                <w:sz w:val="24"/>
                <w:szCs w:val="24"/>
                <w:lang w:eastAsia="zh-CN" w:bidi="ar"/>
              </w:rPr>
              <w:t>，</w:t>
            </w:r>
            <w:r>
              <w:rPr>
                <w:rFonts w:hint="default" w:ascii="仿宋_GB2312" w:hAnsi="仿宋_GB2312" w:eastAsia="仿宋_GB2312" w:cs="仿宋_GB2312"/>
                <w:color w:val="auto"/>
                <w:sz w:val="24"/>
                <w:szCs w:val="24"/>
                <w:lang w:eastAsia="zh-CN" w:bidi="ar"/>
              </w:rPr>
              <w:t>ICODESLI 天线。</w:t>
            </w:r>
            <w:r>
              <w:rPr>
                <w:rFonts w:hint="eastAsia" w:ascii="仿宋_GB2312" w:hAnsi="仿宋_GB2312" w:eastAsia="仿宋_GB2312" w:cs="仿宋_GB2312"/>
                <w:color w:val="auto"/>
                <w:sz w:val="24"/>
                <w:szCs w:val="24"/>
                <w:lang w:eastAsia="zh-CN" w:bidi="ar"/>
              </w:rPr>
              <w:t>能与档案管理系统实现良好的兼容性与数据交互，确保档案信息的快速识别与精准管理。​</w:t>
            </w:r>
          </w:p>
        </w:tc>
        <w:tc>
          <w:tcPr>
            <w:tcW w:w="764" w:type="dxa"/>
            <w:vAlign w:val="center"/>
          </w:tcPr>
          <w:p>
            <w:pPr>
              <w:pStyle w:val="19"/>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default"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400套</w:t>
            </w:r>
          </w:p>
        </w:tc>
      </w:tr>
    </w:tbl>
    <w:p>
      <w:pPr>
        <w:pStyle w:val="6"/>
        <w:pageBreakBefore w:val="0"/>
        <w:widowControl w:val="0"/>
        <w:kinsoku/>
        <w:wordWrap/>
        <w:overflowPunct/>
        <w:topLinePunct w:val="0"/>
        <w:bidi w:val="0"/>
        <w:snapToGrid/>
        <w:spacing w:before="0" w:after="0" w:line="480" w:lineRule="exact"/>
        <w:ind w:right="0" w:rightChars="0"/>
        <w:textAlignment w:val="auto"/>
        <w:rPr>
          <w:rFonts w:hint="eastAsia"/>
          <w:lang w:val="en-US" w:eastAsia="zh-CN"/>
        </w:rPr>
      </w:pPr>
      <w:r>
        <w:rPr>
          <w:rFonts w:hint="eastAsia"/>
          <w:lang w:val="en-US" w:eastAsia="zh-CN"/>
        </w:rPr>
        <w:t>付款方式</w:t>
      </w:r>
      <w:r>
        <w:rPr>
          <w:rFonts w:hint="eastAsia"/>
          <w:lang w:val="en-US" w:eastAsia="zh-CN"/>
        </w:rPr>
        <w:tab/>
      </w:r>
    </w:p>
    <w:p>
      <w:pPr>
        <w:pageBreakBefore w:val="0"/>
        <w:widowControl w:val="0"/>
        <w:kinsoku/>
        <w:wordWrap/>
        <w:overflowPunct/>
        <w:topLinePunct w:val="0"/>
        <w:bidi w:val="0"/>
        <w:snapToGrid/>
        <w:spacing w:line="480" w:lineRule="exact"/>
        <w:ind w:right="0" w:rightChars="0" w:firstLine="456" w:firstLineChars="20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合同签订后5个工作日内，采购人向承接方支付项目合同总价的50 %</w:t>
      </w:r>
      <w:r>
        <w:rPr>
          <w:rFonts w:hint="eastAsia" w:ascii="仿宋_GB2312" w:hAnsi="仿宋_GB2312" w:cs="仿宋_GB2312"/>
          <w:spacing w:val="-6"/>
          <w:kern w:val="2"/>
          <w:sz w:val="24"/>
          <w:szCs w:val="24"/>
          <w:lang w:val="en-US" w:eastAsia="zh-CN" w:bidi="ar-SA"/>
        </w:rPr>
        <w:t>；</w:t>
      </w:r>
      <w:r>
        <w:rPr>
          <w:rFonts w:hint="eastAsia" w:ascii="仿宋_GB2312" w:hAnsi="仿宋_GB2312" w:eastAsia="仿宋_GB2312" w:cs="仿宋_GB2312"/>
          <w:spacing w:val="-6"/>
          <w:kern w:val="2"/>
          <w:sz w:val="24"/>
          <w:szCs w:val="24"/>
          <w:lang w:val="en-US" w:eastAsia="zh-CN" w:bidi="ar-SA"/>
        </w:rPr>
        <w:t>硬件设备交付、调试及</w:t>
      </w:r>
      <w:r>
        <w:rPr>
          <w:rFonts w:hint="eastAsia" w:ascii="仿宋_GB2312" w:hAnsi="仿宋_GB2312" w:cs="仿宋_GB2312"/>
          <w:spacing w:val="-6"/>
          <w:kern w:val="2"/>
          <w:sz w:val="24"/>
          <w:szCs w:val="24"/>
          <w:lang w:val="en-US" w:eastAsia="zh-CN" w:bidi="ar-SA"/>
        </w:rPr>
        <w:t>离退休</w:t>
      </w:r>
      <w:r>
        <w:rPr>
          <w:rFonts w:hint="eastAsia" w:ascii="仿宋_GB2312" w:hAnsi="仿宋_GB2312" w:eastAsia="仿宋_GB2312" w:cs="仿宋_GB2312"/>
          <w:spacing w:val="-6"/>
          <w:kern w:val="2"/>
          <w:sz w:val="24"/>
          <w:szCs w:val="24"/>
          <w:lang w:val="en-US" w:eastAsia="zh-CN" w:bidi="ar-SA"/>
        </w:rPr>
        <w:t>数字化服务完成</w:t>
      </w:r>
      <w:r>
        <w:rPr>
          <w:rFonts w:hint="eastAsia" w:ascii="仿宋_GB2312" w:hAnsi="仿宋_GB2312" w:cs="仿宋_GB2312"/>
          <w:spacing w:val="-6"/>
          <w:kern w:val="2"/>
          <w:sz w:val="24"/>
          <w:szCs w:val="24"/>
          <w:lang w:val="en-US" w:eastAsia="zh-CN" w:bidi="ar-SA"/>
        </w:rPr>
        <w:t>后，</w:t>
      </w:r>
      <w:r>
        <w:rPr>
          <w:rFonts w:hint="eastAsia" w:ascii="仿宋_GB2312" w:hAnsi="仿宋_GB2312" w:eastAsia="仿宋_GB2312" w:cs="仿宋_GB2312"/>
          <w:spacing w:val="-6"/>
          <w:kern w:val="2"/>
          <w:sz w:val="24"/>
          <w:szCs w:val="24"/>
          <w:lang w:val="en-US" w:eastAsia="zh-CN" w:bidi="ar-SA"/>
        </w:rPr>
        <w:t>经采购人验收合格后向承接方支付项目合同总价的</w:t>
      </w:r>
      <w:r>
        <w:rPr>
          <w:rFonts w:hint="eastAsia" w:ascii="仿宋_GB2312" w:hAnsi="仿宋_GB2312" w:cs="仿宋_GB2312"/>
          <w:spacing w:val="-6"/>
          <w:kern w:val="2"/>
          <w:sz w:val="24"/>
          <w:szCs w:val="24"/>
          <w:lang w:val="en-US" w:eastAsia="zh-CN" w:bidi="ar-SA"/>
        </w:rPr>
        <w:t>35</w:t>
      </w:r>
      <w:r>
        <w:rPr>
          <w:rFonts w:hint="eastAsia" w:ascii="仿宋_GB2312" w:hAnsi="仿宋_GB2312" w:eastAsia="仿宋_GB2312" w:cs="仿宋_GB2312"/>
          <w:spacing w:val="-6"/>
          <w:kern w:val="2"/>
          <w:sz w:val="24"/>
          <w:szCs w:val="24"/>
          <w:lang w:val="en-US" w:eastAsia="zh-CN" w:bidi="ar-SA"/>
        </w:rPr>
        <w:t>%</w:t>
      </w:r>
      <w:r>
        <w:rPr>
          <w:rFonts w:hint="eastAsia" w:ascii="仿宋_GB2312" w:hAnsi="仿宋_GB2312" w:cs="仿宋_GB2312"/>
          <w:spacing w:val="-6"/>
          <w:kern w:val="2"/>
          <w:sz w:val="24"/>
          <w:szCs w:val="24"/>
          <w:lang w:val="en-US" w:eastAsia="zh-CN" w:bidi="ar-SA"/>
        </w:rPr>
        <w:t>；在职干部档案全过程服务</w:t>
      </w:r>
      <w:r>
        <w:rPr>
          <w:rFonts w:hint="eastAsia" w:ascii="仿宋_GB2312" w:hAnsi="仿宋_GB2312" w:eastAsia="仿宋_GB2312" w:cs="仿宋_GB2312"/>
          <w:spacing w:val="-6"/>
          <w:kern w:val="2"/>
          <w:sz w:val="24"/>
          <w:szCs w:val="24"/>
          <w:lang w:val="en-US" w:eastAsia="zh-CN" w:bidi="ar-SA"/>
        </w:rPr>
        <w:t>验收</w:t>
      </w:r>
      <w:r>
        <w:rPr>
          <w:rFonts w:hint="eastAsia" w:ascii="仿宋_GB2312" w:hAnsi="仿宋_GB2312" w:cs="仿宋_GB2312"/>
          <w:spacing w:val="-6"/>
          <w:kern w:val="2"/>
          <w:sz w:val="24"/>
          <w:szCs w:val="24"/>
          <w:lang w:val="en-US" w:eastAsia="zh-CN" w:bidi="ar-SA"/>
        </w:rPr>
        <w:t>后</w:t>
      </w:r>
      <w:r>
        <w:rPr>
          <w:rFonts w:hint="eastAsia" w:ascii="仿宋_GB2312" w:hAnsi="仿宋_GB2312" w:eastAsia="仿宋_GB2312" w:cs="仿宋_GB2312"/>
          <w:spacing w:val="-6"/>
          <w:kern w:val="2"/>
          <w:sz w:val="24"/>
          <w:szCs w:val="24"/>
          <w:lang w:val="en-US" w:eastAsia="zh-CN" w:bidi="ar-SA"/>
        </w:rPr>
        <w:t>支付项目合同总价的1</w:t>
      </w:r>
      <w:r>
        <w:rPr>
          <w:rFonts w:hint="eastAsia" w:ascii="仿宋_GB2312" w:hAnsi="仿宋_GB2312" w:cs="仿宋_GB2312"/>
          <w:spacing w:val="-6"/>
          <w:kern w:val="2"/>
          <w:sz w:val="24"/>
          <w:szCs w:val="24"/>
          <w:lang w:val="en-US" w:eastAsia="zh-CN" w:bidi="ar-SA"/>
        </w:rPr>
        <w:t>5</w:t>
      </w:r>
      <w:r>
        <w:rPr>
          <w:rFonts w:hint="eastAsia" w:ascii="仿宋_GB2312" w:hAnsi="仿宋_GB2312" w:eastAsia="仿宋_GB2312" w:cs="仿宋_GB2312"/>
          <w:spacing w:val="-6"/>
          <w:kern w:val="2"/>
          <w:sz w:val="24"/>
          <w:szCs w:val="24"/>
          <w:lang w:val="en-US" w:eastAsia="zh-CN" w:bidi="ar-SA"/>
        </w:rPr>
        <w:t>%。</w:t>
      </w:r>
    </w:p>
    <w:p>
      <w:pPr>
        <w:pStyle w:val="6"/>
        <w:pageBreakBefore w:val="0"/>
        <w:widowControl w:val="0"/>
        <w:kinsoku/>
        <w:wordWrap/>
        <w:overflowPunct/>
        <w:topLinePunct w:val="0"/>
        <w:bidi w:val="0"/>
        <w:snapToGrid/>
        <w:spacing w:before="0" w:after="0" w:line="480" w:lineRule="exact"/>
        <w:ind w:right="0" w:rightChars="0"/>
        <w:textAlignment w:val="auto"/>
        <w:rPr>
          <w:rFonts w:hint="eastAsia"/>
          <w:lang w:val="en-US" w:eastAsia="zh-CN"/>
        </w:rPr>
      </w:pPr>
      <w:r>
        <w:rPr>
          <w:rFonts w:hint="eastAsia"/>
          <w:lang w:val="en-US" w:eastAsia="zh-CN"/>
        </w:rPr>
        <w:t>交付期</w:t>
      </w:r>
      <w:r>
        <w:rPr>
          <w:rFonts w:hint="eastAsia"/>
          <w:lang w:val="en-US" w:eastAsia="zh-CN"/>
        </w:rPr>
        <w:tab/>
      </w:r>
    </w:p>
    <w:p>
      <w:pPr>
        <w:pageBreakBefore w:val="0"/>
        <w:widowControl w:val="0"/>
        <w:kinsoku/>
        <w:wordWrap/>
        <w:overflowPunct/>
        <w:topLinePunct w:val="0"/>
        <w:bidi w:val="0"/>
        <w:snapToGrid/>
        <w:spacing w:line="480" w:lineRule="exact"/>
        <w:ind w:right="0" w:rightChars="0" w:firstLine="456" w:firstLineChars="20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1、物品类在合同签订日起算2个月内</w:t>
      </w:r>
      <w:r>
        <w:rPr>
          <w:rFonts w:hint="eastAsia" w:ascii="仿宋_GB2312" w:hAnsi="仿宋_GB2312" w:cs="仿宋_GB2312"/>
          <w:spacing w:val="-6"/>
          <w:kern w:val="2"/>
          <w:sz w:val="24"/>
          <w:szCs w:val="24"/>
          <w:lang w:val="en-US" w:eastAsia="zh-CN" w:bidi="ar-SA"/>
        </w:rPr>
        <w:t>交付</w:t>
      </w:r>
      <w:r>
        <w:rPr>
          <w:rFonts w:hint="eastAsia" w:ascii="仿宋_GB2312" w:hAnsi="仿宋_GB2312" w:eastAsia="仿宋_GB2312" w:cs="仿宋_GB2312"/>
          <w:spacing w:val="-6"/>
          <w:kern w:val="2"/>
          <w:sz w:val="24"/>
          <w:szCs w:val="24"/>
          <w:lang w:val="en-US" w:eastAsia="zh-CN" w:bidi="ar-SA"/>
        </w:rPr>
        <w:t>；2、</w:t>
      </w:r>
      <w:r>
        <w:rPr>
          <w:rFonts w:hint="eastAsia" w:ascii="仿宋_GB2312" w:hAnsi="仿宋_GB2312" w:cs="仿宋_GB2312"/>
          <w:spacing w:val="-6"/>
          <w:kern w:val="2"/>
          <w:sz w:val="24"/>
          <w:szCs w:val="24"/>
          <w:lang w:val="en-US" w:eastAsia="zh-CN" w:bidi="ar-SA"/>
        </w:rPr>
        <w:t>离退休</w:t>
      </w:r>
      <w:r>
        <w:rPr>
          <w:rFonts w:hint="eastAsia" w:ascii="仿宋_GB2312" w:hAnsi="仿宋_GB2312" w:eastAsia="仿宋_GB2312" w:cs="仿宋_GB2312"/>
          <w:spacing w:val="-6"/>
          <w:kern w:val="2"/>
          <w:sz w:val="24"/>
          <w:szCs w:val="24"/>
          <w:lang w:val="en-US" w:eastAsia="zh-CN" w:bidi="ar-SA"/>
        </w:rPr>
        <w:t>数字化在合同签订日起算</w:t>
      </w:r>
      <w:r>
        <w:rPr>
          <w:rFonts w:hint="eastAsia" w:ascii="仿宋_GB2312" w:hAnsi="仿宋_GB2312" w:cs="仿宋_GB2312"/>
          <w:spacing w:val="-6"/>
          <w:kern w:val="2"/>
          <w:sz w:val="24"/>
          <w:szCs w:val="24"/>
          <w:lang w:val="en-US" w:eastAsia="zh-CN" w:bidi="ar-SA"/>
        </w:rPr>
        <w:t>6</w:t>
      </w:r>
      <w:r>
        <w:rPr>
          <w:rFonts w:hint="eastAsia" w:ascii="仿宋_GB2312" w:hAnsi="仿宋_GB2312" w:eastAsia="仿宋_GB2312" w:cs="仿宋_GB2312"/>
          <w:spacing w:val="-6"/>
          <w:kern w:val="2"/>
          <w:sz w:val="24"/>
          <w:szCs w:val="24"/>
          <w:lang w:val="en-US" w:eastAsia="zh-CN" w:bidi="ar-SA"/>
        </w:rPr>
        <w:t>个月内</w:t>
      </w:r>
      <w:r>
        <w:rPr>
          <w:rFonts w:hint="eastAsia" w:ascii="仿宋_GB2312" w:hAnsi="仿宋_GB2312" w:cs="仿宋_GB2312"/>
          <w:spacing w:val="-6"/>
          <w:kern w:val="2"/>
          <w:sz w:val="24"/>
          <w:szCs w:val="24"/>
          <w:lang w:val="en-US" w:eastAsia="zh-CN" w:bidi="ar-SA"/>
        </w:rPr>
        <w:t>交付；3、在职干部档案数字化全过程服务</w:t>
      </w:r>
      <w:r>
        <w:rPr>
          <w:rFonts w:hint="eastAsia" w:ascii="仿宋_GB2312" w:hAnsi="仿宋_GB2312" w:eastAsia="仿宋_GB2312" w:cs="仿宋_GB2312"/>
          <w:spacing w:val="-6"/>
          <w:kern w:val="2"/>
          <w:sz w:val="24"/>
          <w:szCs w:val="24"/>
          <w:lang w:val="en-US" w:eastAsia="zh-CN" w:bidi="ar-SA"/>
        </w:rPr>
        <w:t>在合同签订日起算</w:t>
      </w:r>
      <w:r>
        <w:rPr>
          <w:rFonts w:hint="eastAsia" w:ascii="仿宋_GB2312" w:hAnsi="仿宋_GB2312" w:cs="仿宋_GB2312"/>
          <w:spacing w:val="-6"/>
          <w:kern w:val="2"/>
          <w:sz w:val="24"/>
          <w:szCs w:val="24"/>
          <w:lang w:val="en-US" w:eastAsia="zh-CN" w:bidi="ar-SA"/>
        </w:rPr>
        <w:t>18</w:t>
      </w:r>
      <w:r>
        <w:rPr>
          <w:rFonts w:hint="eastAsia" w:ascii="仿宋_GB2312" w:hAnsi="仿宋_GB2312" w:eastAsia="仿宋_GB2312" w:cs="仿宋_GB2312"/>
          <w:spacing w:val="-6"/>
          <w:kern w:val="2"/>
          <w:sz w:val="24"/>
          <w:szCs w:val="24"/>
          <w:lang w:val="en-US" w:eastAsia="zh-CN" w:bidi="ar-SA"/>
        </w:rPr>
        <w:t>个月内</w:t>
      </w:r>
      <w:r>
        <w:rPr>
          <w:rFonts w:hint="eastAsia" w:ascii="仿宋_GB2312" w:hAnsi="仿宋_GB2312" w:cs="仿宋_GB2312"/>
          <w:spacing w:val="-6"/>
          <w:kern w:val="2"/>
          <w:sz w:val="24"/>
          <w:szCs w:val="24"/>
          <w:lang w:val="en-US" w:eastAsia="zh-CN" w:bidi="ar-SA"/>
        </w:rPr>
        <w:t>完成</w:t>
      </w:r>
      <w:r>
        <w:rPr>
          <w:rFonts w:hint="eastAsia" w:ascii="仿宋_GB2312" w:hAnsi="仿宋_GB2312" w:eastAsia="仿宋_GB2312" w:cs="仿宋_GB2312"/>
          <w:spacing w:val="-6"/>
          <w:kern w:val="2"/>
          <w:sz w:val="24"/>
          <w:szCs w:val="24"/>
          <w:lang w:val="en-US" w:eastAsia="zh-CN" w:bidi="ar-SA"/>
        </w:rPr>
        <w:t>。</w:t>
      </w:r>
    </w:p>
    <w:p>
      <w:pPr>
        <w:pStyle w:val="6"/>
        <w:pageBreakBefore w:val="0"/>
        <w:widowControl w:val="0"/>
        <w:kinsoku/>
        <w:wordWrap/>
        <w:overflowPunct/>
        <w:topLinePunct w:val="0"/>
        <w:bidi w:val="0"/>
        <w:snapToGrid/>
        <w:spacing w:before="0" w:after="0" w:line="480" w:lineRule="exact"/>
        <w:ind w:right="0" w:rightChars="0"/>
        <w:textAlignment w:val="auto"/>
        <w:rPr>
          <w:rFonts w:hint="eastAsia"/>
          <w:lang w:val="en-US" w:eastAsia="zh-CN"/>
        </w:rPr>
      </w:pPr>
      <w:r>
        <w:rPr>
          <w:rFonts w:hint="eastAsia"/>
          <w:lang w:val="en-US" w:eastAsia="zh-CN"/>
        </w:rPr>
        <w:t>质保期</w:t>
      </w:r>
      <w:r>
        <w:rPr>
          <w:rFonts w:hint="eastAsia"/>
          <w:lang w:val="en-US" w:eastAsia="zh-CN"/>
        </w:rPr>
        <w:tab/>
      </w:r>
    </w:p>
    <w:p>
      <w:pPr>
        <w:pageBreakBefore w:val="0"/>
        <w:widowControl w:val="0"/>
        <w:kinsoku/>
        <w:wordWrap/>
        <w:overflowPunct/>
        <w:topLinePunct w:val="0"/>
        <w:bidi w:val="0"/>
        <w:snapToGrid/>
        <w:spacing w:line="480" w:lineRule="exact"/>
        <w:ind w:right="0" w:rightChars="0" w:firstLine="480" w:firstLineChars="200"/>
        <w:textAlignment w:val="auto"/>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本项目项目验收合格之日起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干部人事档案数字化提供6个月质保服务，硬件设备提供原厂3年质保服务。</w:t>
      </w:r>
    </w:p>
    <w:p>
      <w:pPr>
        <w:pStyle w:val="6"/>
        <w:pageBreakBefore w:val="0"/>
        <w:widowControl w:val="0"/>
        <w:kinsoku/>
        <w:wordWrap/>
        <w:overflowPunct/>
        <w:topLinePunct w:val="0"/>
        <w:bidi w:val="0"/>
        <w:snapToGrid/>
        <w:spacing w:before="0" w:after="0" w:line="480" w:lineRule="exact"/>
        <w:ind w:right="0" w:rightChars="0"/>
        <w:textAlignment w:val="auto"/>
        <w:rPr>
          <w:rFonts w:hint="eastAsia"/>
          <w:lang w:val="en-US" w:eastAsia="zh-CN"/>
        </w:rPr>
      </w:pPr>
      <w:r>
        <w:rPr>
          <w:rFonts w:hint="eastAsia"/>
          <w:lang w:val="en-US" w:eastAsia="zh-CN"/>
        </w:rPr>
        <w:t>售后服务</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1.</w:t>
      </w:r>
      <w:r>
        <w:rPr>
          <w:rFonts w:hint="eastAsia" w:ascii="仿宋_GB2312" w:hAnsi="仿宋_GB2312" w:cs="仿宋_GB2312"/>
          <w:bCs/>
          <w:color w:val="000000" w:themeColor="text1"/>
          <w:sz w:val="24"/>
          <w:szCs w:val="24"/>
          <w:highlight w:val="none"/>
          <w:lang w:eastAsia="zh-CN"/>
          <w14:textFill>
            <w14:solidFill>
              <w14:schemeClr w14:val="tx1"/>
            </w14:solidFill>
          </w14:textFill>
        </w:rPr>
        <w:t>成交</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人应有完善的售后服务能力，</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数字化提供6个月质保服务，</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硬件设备提供原厂3年质保服务</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2.</w:t>
      </w:r>
      <w:r>
        <w:rPr>
          <w:rFonts w:hint="eastAsia" w:ascii="仿宋_GB2312" w:hAnsi="仿宋_GB2312" w:cs="仿宋_GB2312"/>
          <w:bCs/>
          <w:color w:val="000000" w:themeColor="text1"/>
          <w:sz w:val="24"/>
          <w:szCs w:val="24"/>
          <w:highlight w:val="none"/>
          <w:lang w:eastAsia="zh-CN"/>
          <w14:textFill>
            <w14:solidFill>
              <w14:schemeClr w14:val="tx1"/>
            </w14:solidFill>
          </w14:textFill>
        </w:rPr>
        <w:t>成交</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人要有快速保障响应能力，在维护期内</w:t>
      </w:r>
      <w:r>
        <w:rPr>
          <w:rFonts w:hint="eastAsia" w:ascii="仿宋_GB2312" w:hAnsi="仿宋_GB2312" w:cs="仿宋_GB2312"/>
          <w:bCs/>
          <w:color w:val="000000" w:themeColor="text1"/>
          <w:sz w:val="24"/>
          <w:szCs w:val="24"/>
          <w:highlight w:val="none"/>
          <w:lang w:eastAsia="zh-CN"/>
          <w14:textFill>
            <w14:solidFill>
              <w14:schemeClr w14:val="tx1"/>
            </w14:solidFill>
          </w14:textFill>
        </w:rPr>
        <w:t>采购</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人在使用</w:t>
      </w:r>
      <w:r>
        <w:rPr>
          <w:rFonts w:hint="eastAsia" w:ascii="仿宋_GB2312" w:hAnsi="仿宋_GB2312" w:cs="仿宋_GB2312"/>
          <w:bCs/>
          <w:color w:val="000000" w:themeColor="text1"/>
          <w:sz w:val="24"/>
          <w:szCs w:val="24"/>
          <w:highlight w:val="none"/>
          <w:lang w:eastAsia="zh-CN"/>
          <w14:textFill>
            <w14:solidFill>
              <w14:schemeClr w14:val="tx1"/>
            </w14:solidFill>
          </w14:textFill>
        </w:rPr>
        <w:t>成交</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人设备中因质量问题造成设备故障，</w:t>
      </w:r>
      <w:r>
        <w:rPr>
          <w:rFonts w:hint="eastAsia" w:ascii="仿宋_GB2312" w:hAnsi="仿宋_GB2312" w:cs="仿宋_GB2312"/>
          <w:bCs/>
          <w:color w:val="000000" w:themeColor="text1"/>
          <w:sz w:val="24"/>
          <w:szCs w:val="24"/>
          <w:highlight w:val="none"/>
          <w:lang w:eastAsia="zh-CN"/>
          <w14:textFill>
            <w14:solidFill>
              <w14:schemeClr w14:val="tx1"/>
            </w14:solidFill>
          </w14:textFill>
        </w:rPr>
        <w:t>成交</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人在接到</w:t>
      </w:r>
      <w:r>
        <w:rPr>
          <w:rFonts w:hint="eastAsia" w:ascii="仿宋_GB2312" w:hAnsi="仿宋_GB2312" w:cs="仿宋_GB2312"/>
          <w:bCs/>
          <w:color w:val="000000" w:themeColor="text1"/>
          <w:sz w:val="24"/>
          <w:szCs w:val="24"/>
          <w:highlight w:val="none"/>
          <w:lang w:eastAsia="zh-CN"/>
          <w14:textFill>
            <w14:solidFill>
              <w14:schemeClr w14:val="tx1"/>
            </w14:solidFill>
          </w14:textFill>
        </w:rPr>
        <w:t>采购</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人要求修复的通知后，1小时内响应，并在6小时内（交通时间除外）到达现场排除故障、及时修复、如48小时不能及时解决应提供备件供</w:t>
      </w:r>
      <w:r>
        <w:rPr>
          <w:rFonts w:hint="eastAsia" w:ascii="仿宋_GB2312" w:hAnsi="仿宋_GB2312" w:cs="仿宋_GB2312"/>
          <w:bCs/>
          <w:color w:val="000000" w:themeColor="text1"/>
          <w:sz w:val="24"/>
          <w:szCs w:val="24"/>
          <w:highlight w:val="none"/>
          <w:lang w:eastAsia="zh-CN"/>
          <w14:textFill>
            <w14:solidFill>
              <w14:schemeClr w14:val="tx1"/>
            </w14:solidFill>
          </w14:textFill>
        </w:rPr>
        <w:t>采购</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lang w:val="en-US" w:eastAsia="zh-CN"/>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3.</w:t>
      </w:r>
      <w:r>
        <w:rPr>
          <w:rFonts w:hint="eastAsia" w:ascii="仿宋_GB2312" w:hAnsi="仿宋_GB2312" w:cs="仿宋_GB2312"/>
          <w:bCs/>
          <w:color w:val="000000" w:themeColor="text1"/>
          <w:sz w:val="24"/>
          <w:szCs w:val="24"/>
          <w:highlight w:val="none"/>
          <w:lang w:eastAsia="zh-CN"/>
          <w14:textFill>
            <w14:solidFill>
              <w14:schemeClr w14:val="tx1"/>
            </w14:solidFill>
          </w14:textFill>
        </w:rPr>
        <w:t>成交</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人为采购人提供1次免费培训服务，服务期内免费提供技术咨询服务。</w:t>
      </w:r>
    </w:p>
    <w:sectPr>
      <w:footerReference r:id="rId3" w:type="default"/>
      <w:pgSz w:w="11906" w:h="16838"/>
      <w:pgMar w:top="1440" w:right="1310" w:bottom="1440" w:left="131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00007A87" w:usb1="80000000" w:usb2="00000008" w:usb3="00000000" w:csb0="400001FF" w:csb1="FFFF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590664"/>
    <w:multiLevelType w:val="singleLevel"/>
    <w:tmpl w:val="CA590664"/>
    <w:lvl w:ilvl="0" w:tentative="0">
      <w:start w:val="4"/>
      <w:numFmt w:val="decimal"/>
      <w:suff w:val="nothing"/>
      <w:lvlText w:val="%1、"/>
      <w:lvlJc w:val="left"/>
      <w:rPr>
        <w:rFonts w:hint="default"/>
        <w:sz w:val="21"/>
        <w:szCs w:val="21"/>
      </w:rPr>
    </w:lvl>
  </w:abstractNum>
  <w:abstractNum w:abstractNumId="1">
    <w:nsid w:val="167459FC"/>
    <w:multiLevelType w:val="singleLevel"/>
    <w:tmpl w:val="167459FC"/>
    <w:lvl w:ilvl="0" w:tentative="0">
      <w:start w:val="1"/>
      <w:numFmt w:val="decimal"/>
      <w:suff w:val="nothing"/>
      <w:lvlText w:val="%1．"/>
      <w:lvlJc w:val="left"/>
      <w:pPr>
        <w:ind w:left="-62" w:firstLine="400"/>
      </w:pPr>
      <w:rPr>
        <w:rFonts w:hint="default" w:ascii="宋体" w:hAnsi="宋体" w:eastAsia="宋体" w:cs="宋体"/>
        <w:b/>
        <w:bCs/>
        <w:sz w:val="20"/>
        <w:szCs w:val="20"/>
      </w:rPr>
    </w:lvl>
  </w:abstractNum>
  <w:abstractNum w:abstractNumId="2">
    <w:nsid w:val="6F9167B8"/>
    <w:multiLevelType w:val="multilevel"/>
    <w:tmpl w:val="6F9167B8"/>
    <w:lvl w:ilvl="0" w:tentative="0">
      <w:start w:val="1"/>
      <w:numFmt w:val="chineseCountingThousand"/>
      <w:pStyle w:val="5"/>
      <w:suff w:val="space"/>
      <w:lvlText w:val="第%1章"/>
      <w:lvlJc w:val="left"/>
      <w:pPr>
        <w:ind w:left="425" w:hanging="425"/>
      </w:pPr>
      <w:rPr>
        <w:rFonts w:hint="eastAsia"/>
      </w:rPr>
    </w:lvl>
    <w:lvl w:ilvl="1" w:tentative="0">
      <w:start w:val="1"/>
      <w:numFmt w:val="decimal"/>
      <w:pStyle w:val="6"/>
      <w:isLgl/>
      <w:suff w:val="space"/>
      <w:lvlText w:val="%1.%2"/>
      <w:lvlJc w:val="left"/>
      <w:pPr>
        <w:ind w:left="992" w:hanging="567"/>
      </w:pPr>
      <w:rPr>
        <w:rFonts w:hint="default" w:ascii="Times New Roman" w:hAnsi="Times New Roman" w:cs="Times New Roman"/>
      </w:rPr>
    </w:lvl>
    <w:lvl w:ilvl="2" w:tentative="0">
      <w:start w:val="1"/>
      <w:numFmt w:val="decimal"/>
      <w:pStyle w:val="7"/>
      <w:isLgl/>
      <w:suff w:val="space"/>
      <w:lvlText w:val="%1.%2.%3"/>
      <w:lvlJc w:val="left"/>
      <w:pPr>
        <w:ind w:left="1418" w:hanging="567"/>
      </w:pPr>
      <w:rPr>
        <w:rFonts w:hint="default" w:ascii="Times New Roman" w:hAnsi="Times New Roman" w:cs="Times New Roman"/>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
      <w:isLgl/>
      <w:suff w:val="space"/>
      <w:lvlText w:val="%1.%2.%3.%4"/>
      <w:lvlJc w:val="left"/>
      <w:pPr>
        <w:ind w:left="1984" w:hanging="708"/>
      </w:pPr>
      <w:rPr>
        <w:rFonts w:hint="default" w:ascii="Times New Roman" w:hAnsi="Times New Roman" w:cs="Times New Roman"/>
      </w:rPr>
    </w:lvl>
    <w:lvl w:ilvl="4" w:tentative="0">
      <w:start w:val="1"/>
      <w:numFmt w:val="decimal"/>
      <w:isLgl/>
      <w:suff w:val="space"/>
      <w:lvlText w:val="%1.%2.%3.%4.%5"/>
      <w:lvlJc w:val="left"/>
      <w:pPr>
        <w:ind w:left="2551" w:hanging="850"/>
      </w:pPr>
      <w:rPr>
        <w:rFonts w:hint="default" w:ascii="Times New Roman" w:hAnsi="Times New Roman" w:cs="Times New Roman"/>
      </w:rPr>
    </w:lvl>
    <w:lvl w:ilvl="5" w:tentative="0">
      <w:start w:val="1"/>
      <w:numFmt w:val="decimal"/>
      <w:isLgl/>
      <w:suff w:val="space"/>
      <w:lvlText w:val="%1.%2.%3.%4.%5.%6"/>
      <w:lvlJc w:val="left"/>
      <w:pPr>
        <w:ind w:left="3260" w:hanging="1134"/>
      </w:pPr>
      <w:rPr>
        <w:rFonts w:hint="default" w:ascii="Times New Roman" w:hAnsi="Times New Roman" w:cs="Times New Roman"/>
      </w:rPr>
    </w:lvl>
    <w:lvl w:ilvl="6" w:tentative="0">
      <w:start w:val="1"/>
      <w:numFmt w:val="decimal"/>
      <w:isLgl/>
      <w:suff w:val="space"/>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F6735"/>
    <w:rsid w:val="03D00D47"/>
    <w:rsid w:val="04950533"/>
    <w:rsid w:val="07171B43"/>
    <w:rsid w:val="0842253E"/>
    <w:rsid w:val="08BD5400"/>
    <w:rsid w:val="0B32165D"/>
    <w:rsid w:val="0B8251F1"/>
    <w:rsid w:val="0C7451AE"/>
    <w:rsid w:val="0CF53B64"/>
    <w:rsid w:val="0D3B13B5"/>
    <w:rsid w:val="0DF05812"/>
    <w:rsid w:val="0E78665C"/>
    <w:rsid w:val="0ED16D80"/>
    <w:rsid w:val="10FC2F32"/>
    <w:rsid w:val="11C403E5"/>
    <w:rsid w:val="14834CC9"/>
    <w:rsid w:val="15C60226"/>
    <w:rsid w:val="165902E2"/>
    <w:rsid w:val="17F2292E"/>
    <w:rsid w:val="192711AB"/>
    <w:rsid w:val="1A5F2CDE"/>
    <w:rsid w:val="1B3F1C5E"/>
    <w:rsid w:val="1C3F0EAC"/>
    <w:rsid w:val="1C841217"/>
    <w:rsid w:val="1FF9621D"/>
    <w:rsid w:val="2038122B"/>
    <w:rsid w:val="211E7347"/>
    <w:rsid w:val="229F6735"/>
    <w:rsid w:val="22A91EB0"/>
    <w:rsid w:val="23BA3054"/>
    <w:rsid w:val="244D426D"/>
    <w:rsid w:val="247B3C2B"/>
    <w:rsid w:val="270A5AF3"/>
    <w:rsid w:val="2ABC63CE"/>
    <w:rsid w:val="2B4F212E"/>
    <w:rsid w:val="2B9A57A7"/>
    <w:rsid w:val="2C970DC4"/>
    <w:rsid w:val="2CBC1339"/>
    <w:rsid w:val="2E0F2739"/>
    <w:rsid w:val="2E8F29CE"/>
    <w:rsid w:val="2EE07727"/>
    <w:rsid w:val="2F546F36"/>
    <w:rsid w:val="2FFB4083"/>
    <w:rsid w:val="302E16EE"/>
    <w:rsid w:val="327354D4"/>
    <w:rsid w:val="32FD7301"/>
    <w:rsid w:val="34212E5E"/>
    <w:rsid w:val="36587424"/>
    <w:rsid w:val="366A40F2"/>
    <w:rsid w:val="37030ED9"/>
    <w:rsid w:val="375C74D3"/>
    <w:rsid w:val="38CF183A"/>
    <w:rsid w:val="39862E6F"/>
    <w:rsid w:val="399D0B1A"/>
    <w:rsid w:val="3A592DBE"/>
    <w:rsid w:val="3B5F78EA"/>
    <w:rsid w:val="3D13222E"/>
    <w:rsid w:val="41275892"/>
    <w:rsid w:val="413142D7"/>
    <w:rsid w:val="426A3585"/>
    <w:rsid w:val="447D049C"/>
    <w:rsid w:val="46A92E6C"/>
    <w:rsid w:val="470768A0"/>
    <w:rsid w:val="4714584B"/>
    <w:rsid w:val="47227AC1"/>
    <w:rsid w:val="47687C7A"/>
    <w:rsid w:val="4ADF5065"/>
    <w:rsid w:val="4B3C23EB"/>
    <w:rsid w:val="4DEC6965"/>
    <w:rsid w:val="4E47151B"/>
    <w:rsid w:val="51425DD5"/>
    <w:rsid w:val="52461ABF"/>
    <w:rsid w:val="59726DD5"/>
    <w:rsid w:val="5A535D3C"/>
    <w:rsid w:val="60C71418"/>
    <w:rsid w:val="60FA2C58"/>
    <w:rsid w:val="620A1069"/>
    <w:rsid w:val="63E57139"/>
    <w:rsid w:val="63EB766E"/>
    <w:rsid w:val="64FC1C2C"/>
    <w:rsid w:val="662C587F"/>
    <w:rsid w:val="668F1114"/>
    <w:rsid w:val="66CD1788"/>
    <w:rsid w:val="67C31681"/>
    <w:rsid w:val="68A64F74"/>
    <w:rsid w:val="692A7A53"/>
    <w:rsid w:val="6AAC1BB2"/>
    <w:rsid w:val="6C6337DF"/>
    <w:rsid w:val="6CC042E7"/>
    <w:rsid w:val="6DEC49C9"/>
    <w:rsid w:val="702D5C9C"/>
    <w:rsid w:val="72974891"/>
    <w:rsid w:val="73584BF0"/>
    <w:rsid w:val="740138CB"/>
    <w:rsid w:val="775175A7"/>
    <w:rsid w:val="790E78E1"/>
    <w:rsid w:val="79215AB8"/>
    <w:rsid w:val="794649E0"/>
    <w:rsid w:val="7B0251A3"/>
    <w:rsid w:val="7C41767B"/>
    <w:rsid w:val="7DBC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_GB2312" w:asciiTheme="minorHAnsi" w:hAnsiTheme="minorHAnsi" w:cstheme="minorBidi"/>
      <w:kern w:val="2"/>
      <w:sz w:val="28"/>
      <w:szCs w:val="22"/>
      <w:lang w:val="en-US" w:eastAsia="zh-CN" w:bidi="ar-SA"/>
    </w:rPr>
  </w:style>
  <w:style w:type="paragraph" w:styleId="5">
    <w:name w:val="heading 1"/>
    <w:basedOn w:val="1"/>
    <w:next w:val="1"/>
    <w:qFormat/>
    <w:uiPriority w:val="9"/>
    <w:pPr>
      <w:keepNext/>
      <w:keepLines/>
      <w:numPr>
        <w:ilvl w:val="0"/>
        <w:numId w:val="1"/>
      </w:numPr>
      <w:spacing w:before="120" w:after="120"/>
      <w:ind w:left="0" w:firstLine="0"/>
      <w:outlineLvl w:val="0"/>
    </w:pPr>
    <w:rPr>
      <w:rFonts w:eastAsia="方正小标宋简体"/>
      <w:b/>
      <w:bCs/>
      <w:kern w:val="44"/>
      <w:sz w:val="32"/>
      <w:szCs w:val="44"/>
    </w:rPr>
  </w:style>
  <w:style w:type="paragraph" w:styleId="6">
    <w:name w:val="heading 2"/>
    <w:basedOn w:val="1"/>
    <w:next w:val="1"/>
    <w:unhideWhenUsed/>
    <w:qFormat/>
    <w:uiPriority w:val="9"/>
    <w:pPr>
      <w:keepNext/>
      <w:keepLines/>
      <w:numPr>
        <w:ilvl w:val="1"/>
        <w:numId w:val="1"/>
      </w:numPr>
      <w:spacing w:before="120" w:after="120"/>
      <w:ind w:left="0" w:firstLine="0"/>
      <w:outlineLvl w:val="1"/>
    </w:pPr>
    <w:rPr>
      <w:rFonts w:eastAsia="黑体" w:asciiTheme="majorHAnsi" w:hAnsiTheme="majorHAnsi" w:cstheme="majorBidi"/>
      <w:b/>
      <w:bCs/>
      <w:sz w:val="30"/>
      <w:szCs w:val="32"/>
    </w:rPr>
  </w:style>
  <w:style w:type="paragraph" w:styleId="7">
    <w:name w:val="heading 3"/>
    <w:basedOn w:val="1"/>
    <w:next w:val="1"/>
    <w:unhideWhenUsed/>
    <w:qFormat/>
    <w:uiPriority w:val="9"/>
    <w:pPr>
      <w:keepNext/>
      <w:keepLines/>
      <w:numPr>
        <w:ilvl w:val="2"/>
        <w:numId w:val="1"/>
      </w:numPr>
      <w:spacing w:before="120" w:after="120"/>
      <w:ind w:left="0" w:firstLine="0"/>
      <w:outlineLvl w:val="2"/>
    </w:pPr>
    <w:rPr>
      <w:rFonts w:eastAsia="楷体_GB2312"/>
      <w:b/>
      <w:bCs/>
      <w:sz w:val="30"/>
      <w:szCs w:val="32"/>
    </w:rPr>
  </w:style>
  <w:style w:type="paragraph" w:styleId="8">
    <w:name w:val="heading 4"/>
    <w:basedOn w:val="1"/>
    <w:next w:val="1"/>
    <w:unhideWhenUsed/>
    <w:qFormat/>
    <w:uiPriority w:val="9"/>
    <w:pPr>
      <w:keepNext/>
      <w:keepLines/>
      <w:numPr>
        <w:ilvl w:val="3"/>
        <w:numId w:val="1"/>
      </w:numPr>
      <w:spacing w:before="120" w:after="120"/>
      <w:ind w:left="0" w:firstLine="0"/>
      <w:outlineLvl w:val="3"/>
    </w:pPr>
    <w:rPr>
      <w:rFonts w:asciiTheme="majorHAnsi" w:hAnsiTheme="majorHAnsi" w:cstheme="majorBidi"/>
      <w:b/>
      <w:bCs/>
      <w:szCs w:val="28"/>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99"/>
    <w:pPr>
      <w:spacing w:after="120"/>
      <w:ind w:firstLine="420" w:firstLineChars="100"/>
    </w:pPr>
    <w:rPr>
      <w:rFonts w:eastAsia="宋体"/>
    </w:rPr>
  </w:style>
  <w:style w:type="paragraph" w:styleId="3">
    <w:name w:val="Body Text"/>
    <w:basedOn w:val="1"/>
    <w:next w:val="2"/>
    <w:semiHidden/>
    <w:qFormat/>
    <w:uiPriority w:val="0"/>
  </w:style>
  <w:style w:type="paragraph" w:styleId="4">
    <w:name w:val="toc 6"/>
    <w:basedOn w:val="1"/>
    <w:next w:val="1"/>
    <w:qFormat/>
    <w:uiPriority w:val="0"/>
    <w:pPr>
      <w:ind w:left="2100"/>
    </w:pPr>
    <w:rPr>
      <w:rFonts w:ascii="Times New Roman" w:hAnsi="Times New Roman" w:eastAsia="宋体" w:cs="Times New Roman"/>
      <w:kern w:val="2"/>
      <w:szCs w:val="20"/>
      <w:lang w:bidi="ar-SA"/>
    </w:rPr>
  </w:style>
  <w:style w:type="paragraph" w:styleId="9">
    <w:name w:val="toa heading"/>
    <w:basedOn w:val="1"/>
    <w:next w:val="1"/>
    <w:unhideWhenUsed/>
    <w:qFormat/>
    <w:uiPriority w:val="99"/>
    <w:pPr>
      <w:spacing w:before="120"/>
    </w:pPr>
    <w:rPr>
      <w:rFonts w:ascii="Arial" w:hAnsi="Arial" w:cs="Arial"/>
      <w:sz w:val="24"/>
    </w:rPr>
  </w:style>
  <w:style w:type="paragraph" w:styleId="10">
    <w:name w:val="Body Text Indent"/>
    <w:basedOn w:val="1"/>
    <w:next w:val="11"/>
    <w:qFormat/>
    <w:uiPriority w:val="0"/>
    <w:pPr>
      <w:spacing w:after="120"/>
      <w:ind w:left="420" w:leftChars="200"/>
    </w:pPr>
    <w:rPr>
      <w:rFonts w:ascii="Calibri" w:hAnsi="Calibri"/>
      <w:sz w:val="20"/>
      <w:szCs w:val="24"/>
    </w:rPr>
  </w:style>
  <w:style w:type="paragraph" w:styleId="11">
    <w:name w:val="Body Text First Indent 2"/>
    <w:basedOn w:val="10"/>
    <w:next w:val="3"/>
    <w:qFormat/>
    <w:uiPriority w:val="0"/>
    <w:pPr>
      <w:ind w:firstLine="200" w:firstLine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List Paragraph"/>
    <w:basedOn w:val="1"/>
    <w:qFormat/>
    <w:uiPriority w:val="34"/>
    <w:pPr>
      <w:ind w:firstLine="420" w:firstLineChars="200"/>
    </w:pPr>
  </w:style>
  <w:style w:type="table" w:customStyle="1" w:styleId="18">
    <w:name w:val="Table Normal"/>
    <w:unhideWhenUsed/>
    <w:qFormat/>
    <w:uiPriority w:val="0"/>
    <w:tblPr>
      <w:tblLayout w:type="fixed"/>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2442</Words>
  <Characters>2560</Characters>
  <Lines>0</Lines>
  <Paragraphs>0</Paragraphs>
  <TotalTime>9</TotalTime>
  <ScaleCrop>false</ScaleCrop>
  <LinksUpToDate>false</LinksUpToDate>
  <CharactersWithSpaces>2563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2025-03-26T09:45:00Z</dcterms:created>
  <dc:creator>WPS_1683169049</dc:creator>
  <cp:lastModifiedBy>陈长空</cp:lastModifiedBy>
  <cp:lastPrinted>2025-08-04T01:25:23Z</cp:lastPrinted>
  <dcterms:modified xsi:type="dcterms:W3CDTF">2025-08-04T01:39:58Z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AC5747E2DDCA46FEB0ECB5E179BD9898_13</vt:lpwstr>
  </property>
  <property fmtid="{D5CDD505-2E9C-101B-9397-08002B2CF9AE}" pid="4" name="KSOTemplateDocerSaveRecord">
    <vt:lpwstr>eyJoZGlkIjoiZTYyZWUwYmNkMzA5YWQxM2JlN2FjMTEzYWViODhjMjMiLCJ1c2VySWQiOiIyNzIyMTY4NDgifQ==</vt:lpwstr>
  </property>
</Properties>
</file>