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注册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公用设备工程师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报考条件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（一）</w:t>
      </w:r>
      <w:r>
        <w:rPr>
          <w:rFonts w:hAnsi="仿宋" w:eastAsia="仿宋"/>
          <w:b/>
          <w:bCs w:val="0"/>
          <w:sz w:val="30"/>
          <w:szCs w:val="30"/>
        </w:rPr>
        <w:t>参加注册公用设备工程师基础考试，应具备下列条件之一：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⑵取得本专业或相近专业大学专科学历，累计从事公用设备专业工程设计工作满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⑶取得其他工科专业大学本科及以上学历或学位，累计从事公用设备专业工程设计工作满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eastAsia="仿宋"/>
          <w:bCs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（二）</w:t>
      </w:r>
      <w:r>
        <w:rPr>
          <w:rFonts w:hAnsi="仿宋" w:eastAsia="仿宋"/>
          <w:b/>
          <w:bCs w:val="0"/>
          <w:sz w:val="30"/>
          <w:szCs w:val="30"/>
        </w:rPr>
        <w:t>参加注册公用设备工程师专业考试，应基础考试合格，并具备下列条件之一：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⑴取得本专业博士学位后，累计从事公用设备专业工程设计工作满</w:t>
      </w:r>
      <w:r>
        <w:rPr>
          <w:rFonts w:eastAsia="仿宋"/>
          <w:bCs/>
          <w:sz w:val="30"/>
          <w:szCs w:val="30"/>
        </w:rPr>
        <w:t>2</w:t>
      </w:r>
      <w:r>
        <w:rPr>
          <w:rFonts w:hAnsi="仿宋" w:eastAsia="仿宋"/>
          <w:bCs/>
          <w:sz w:val="30"/>
          <w:szCs w:val="30"/>
        </w:rPr>
        <w:t>年；或取得相近专业博士学位后，累计从事公用设备专业工程设计工作满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⑵取得本专业硕士学位后，累计从事公用设备专业工程设计工作满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年；或取得相近专业硕士学位后，累计从事公用设备专业工程设计工作满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⑶取得含本专业在内的双学士学位或本专业研究生班毕业后，累计从事公用设备专业工程设计工作满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年；或取得相近专业双学士学位或研究生班毕业后，累计从事公用设备专业工程设计工作满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⑷取得通过本专业教育评估的大学本科学历或学位后，累计从事公用设备专业工程设计工作满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年；或取得未通过本专业教育评估的大学本科学历或学位后，累计从事公用设备专业工程设计工作满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年；或取得相近专业大学本科学历或学位后，累计从事公用设备专业工程设计工作满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⑸取得本专业大学专科学历后，累计从事公用设备专业工程设计工作满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年；或取得相近专业大学专科学历后，累计从事公用设备专业工程设计工作满</w:t>
      </w:r>
      <w:r>
        <w:rPr>
          <w:rFonts w:eastAsia="仿宋"/>
          <w:bCs/>
          <w:sz w:val="30"/>
          <w:szCs w:val="30"/>
        </w:rPr>
        <w:t>7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⑹取得其他工科专业大学本科及以上学历或学位后，累计从事公用设备专业工程设计工作满</w:t>
      </w:r>
      <w:r>
        <w:rPr>
          <w:rFonts w:eastAsia="仿宋"/>
          <w:bCs/>
          <w:sz w:val="30"/>
          <w:szCs w:val="30"/>
        </w:rPr>
        <w:t>8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hint="eastAsia" w:hAnsi="仿宋" w:eastAsia="仿宋"/>
          <w:b/>
          <w:bCs w:val="0"/>
          <w:sz w:val="30"/>
          <w:szCs w:val="30"/>
        </w:rPr>
      </w:pPr>
      <w:bookmarkStart w:id="0" w:name="_GoBack"/>
      <w:r>
        <w:rPr>
          <w:rFonts w:hint="eastAsia" w:hAnsi="仿宋" w:eastAsia="仿宋"/>
          <w:b/>
          <w:bCs w:val="0"/>
          <w:sz w:val="30"/>
          <w:szCs w:val="30"/>
        </w:rPr>
        <w:t>（三）截止2002年12月31日前，符合下列条件之一者，可免基础考试，只需参加专业考试：</w:t>
      </w:r>
    </w:p>
    <w:bookmarkEnd w:id="0"/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</w:t>
      </w:r>
      <w:r>
        <w:rPr>
          <w:rFonts w:hint="eastAsia" w:hAnsi="仿宋" w:eastAsia="仿宋"/>
          <w:bCs/>
          <w:sz w:val="30"/>
          <w:szCs w:val="30"/>
        </w:rPr>
        <w:t>取得本专业博士学位后，累计从事公用设备专业工程设计工作满5年；或取得相近专业博士学位后，累计从事公用设备专业工程设计工作满6年。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</w:t>
      </w:r>
      <w:r>
        <w:rPr>
          <w:rFonts w:hint="eastAsia" w:hAnsi="仿宋" w:eastAsia="仿宋"/>
          <w:bCs/>
          <w:sz w:val="30"/>
          <w:szCs w:val="30"/>
        </w:rPr>
        <w:t>取得本专业硕士学位后，累计从事公用设备专业工程设计工作满6年；或取得相近专业硕士学位后，累计从事公用设备专业工程设计工作满7年。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⑶取得含本专业在内的双学士学位或本专业研究生班毕业后，累计从事公用设备专业工程设计工作满7年；或取得相近专业双学士学位或研究生班毕业后，累计从事公用设备专业工程设计工作满8年。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⑷取得本专业大学本科学历或学位后，累计从事公用设备专业工程设计工作满8年；或取得相近专业大学本科学历或学位后，累计从事公用设备专业工程设计工作满9年。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⑸取得本专业大学专科学历后，累计从事公用设备专业工程设计工作满9年；或取得相近专业大学专科学历后，累计从事公用设备专业工程设计工作满10年。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⑹取得其他工科专业大学本科及以上学历或学位后，累计从事公用设备专业工程设计工作满12年。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⑺取得其他工科专业大学专科学历后，累计从事公用设备专业工程设计工作满15年。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⑻取得本专业中专学历后，累计从事公用设备专业工程设计工作满25年；或取得相近专业中专学历后，累计从事公用设备专业工程设计工作满30年。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（四）</w:t>
      </w:r>
      <w:r>
        <w:rPr>
          <w:rFonts w:hAnsi="仿宋" w:eastAsia="仿宋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暖通空调</w:t>
      </w:r>
    </w:p>
    <w:p>
      <w:pPr>
        <w:numPr>
          <w:ilvl w:val="0"/>
          <w:numId w:val="1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本专业：建筑环境与设备工程。</w:t>
      </w:r>
    </w:p>
    <w:p>
      <w:pPr>
        <w:numPr>
          <w:ilvl w:val="0"/>
          <w:numId w:val="1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相近专业：①国防工程内部环境与设备；②飞行器环境与生命保障工程；③环境工程；④安全工程；</w:t>
      </w:r>
      <w:r>
        <w:rPr>
          <w:rFonts w:eastAsia="仿宋"/>
          <w:bCs/>
          <w:sz w:val="30"/>
          <w:szCs w:val="30"/>
        </w:rPr>
        <w:fldChar w:fldCharType="begin"/>
      </w:r>
      <w:r>
        <w:rPr>
          <w:rFonts w:eastAsia="仿宋"/>
          <w:bCs/>
          <w:sz w:val="30"/>
          <w:szCs w:val="30"/>
        </w:rPr>
        <w:instrText xml:space="preserve"> = 5 \* GB3 </w:instrText>
      </w:r>
      <w:r>
        <w:rPr>
          <w:rFonts w:eastAsia="仿宋"/>
          <w:bCs/>
          <w:sz w:val="30"/>
          <w:szCs w:val="30"/>
        </w:rPr>
        <w:fldChar w:fldCharType="separate"/>
      </w:r>
      <w:r>
        <w:rPr>
          <w:rFonts w:hAnsi="仿宋" w:eastAsia="仿宋"/>
          <w:bCs/>
          <w:sz w:val="30"/>
          <w:szCs w:val="30"/>
        </w:rPr>
        <w:t>⑤</w:t>
      </w:r>
      <w:r>
        <w:rPr>
          <w:rFonts w:eastAsia="仿宋"/>
          <w:bCs/>
          <w:sz w:val="30"/>
          <w:szCs w:val="30"/>
        </w:rPr>
        <w:fldChar w:fldCharType="end"/>
      </w:r>
      <w:r>
        <w:rPr>
          <w:rFonts w:hAnsi="仿宋" w:eastAsia="仿宋"/>
          <w:bCs/>
          <w:sz w:val="30"/>
          <w:szCs w:val="30"/>
        </w:rPr>
        <w:t>食品科学与工程</w:t>
      </w:r>
      <w:r>
        <w:rPr>
          <w:rFonts w:eastAsia="仿宋"/>
          <w:bCs/>
          <w:sz w:val="30"/>
          <w:szCs w:val="30"/>
        </w:rPr>
        <w:fldChar w:fldCharType="begin"/>
      </w:r>
      <w:r>
        <w:rPr>
          <w:rFonts w:eastAsia="仿宋"/>
          <w:bCs/>
          <w:sz w:val="30"/>
          <w:szCs w:val="30"/>
        </w:rPr>
        <w:instrText xml:space="preserve"> = 6 \* GB3 </w:instrText>
      </w:r>
      <w:r>
        <w:rPr>
          <w:rFonts w:eastAsia="仿宋"/>
          <w:bCs/>
          <w:sz w:val="30"/>
          <w:szCs w:val="30"/>
        </w:rPr>
        <w:fldChar w:fldCharType="separate"/>
      </w:r>
      <w:r>
        <w:rPr>
          <w:rFonts w:hAnsi="仿宋" w:eastAsia="仿宋"/>
          <w:bCs/>
          <w:sz w:val="30"/>
          <w:szCs w:val="30"/>
        </w:rPr>
        <w:t>⑥</w:t>
      </w:r>
      <w:r>
        <w:rPr>
          <w:rFonts w:eastAsia="仿宋"/>
          <w:bCs/>
          <w:sz w:val="30"/>
          <w:szCs w:val="30"/>
        </w:rPr>
        <w:fldChar w:fldCharType="end"/>
      </w:r>
      <w:r>
        <w:rPr>
          <w:rFonts w:hAnsi="仿宋" w:eastAsia="仿宋"/>
          <w:bCs/>
          <w:sz w:val="30"/>
          <w:szCs w:val="30"/>
        </w:rPr>
        <w:t>热能与动力工程</w:t>
      </w:r>
    </w:p>
    <w:p>
      <w:pPr>
        <w:numPr>
          <w:ilvl w:val="0"/>
          <w:numId w:val="1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其他专业：除本专业和相近专业外的工科专业。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给水排水</w:t>
      </w:r>
    </w:p>
    <w:p>
      <w:pPr>
        <w:numPr>
          <w:ilvl w:val="0"/>
          <w:numId w:val="2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本专业：给水排水工程。</w:t>
      </w:r>
    </w:p>
    <w:p>
      <w:pPr>
        <w:numPr>
          <w:ilvl w:val="0"/>
          <w:numId w:val="2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相近专业：环境工程。</w:t>
      </w:r>
    </w:p>
    <w:p>
      <w:pPr>
        <w:numPr>
          <w:ilvl w:val="0"/>
          <w:numId w:val="2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其他专业：除本专业和相近专业外的工科专业。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动力</w:t>
      </w:r>
    </w:p>
    <w:p>
      <w:pPr>
        <w:numPr>
          <w:ilvl w:val="0"/>
          <w:numId w:val="3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本专业：①热能与动力工程；②建筑环境与设备工程；③化学工程与工艺；④食品科学与工程。</w:t>
      </w:r>
    </w:p>
    <w:p>
      <w:pPr>
        <w:numPr>
          <w:ilvl w:val="0"/>
          <w:numId w:val="3"/>
        </w:numPr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相近专业：①飞行器设计与工程；②飞行器动力工程；③过程装备与控制工程；④油气贮运工程。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⑶其他专业：除本专业和相近专业外的工科专业。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Style w:val="8"/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Style w:val="8"/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6"/>
        <w:tblW w:w="8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  <w:gridCol w:w="1334"/>
        <w:gridCol w:w="2568"/>
        <w:gridCol w:w="3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33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25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353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暖通及空调工程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建筑环境与能源应用工程</w:t>
            </w:r>
          </w:p>
        </w:tc>
        <w:tc>
          <w:tcPr>
            <w:tcW w:w="353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建筑环境与设备工程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供热通风与空调工程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供热空调与燃气工程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飞行器环境与生命保障工程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食品科学与工程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能源与动力工程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农业建筑环境与能源工程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消防工程</w:t>
            </w:r>
          </w:p>
        </w:tc>
        <w:tc>
          <w:tcPr>
            <w:tcW w:w="353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飞行器环境与生命保障工程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矿山通风与安全工程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食品科学与工程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冷冻冷藏工程（部分）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热能与动力工程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制冷与低温技术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农业建筑环境与能源工程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消防工程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6101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动力工程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能源与动力工程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建筑环境与能源应用工程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食品科学与工程</w:t>
            </w:r>
          </w:p>
        </w:tc>
        <w:tc>
          <w:tcPr>
            <w:tcW w:w="353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热能与动力工程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热力发动机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流体机械及流体工程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热能工程与动力机械（含锅炉、涡轮机、压缩机等）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制冷与低温工程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工程热物理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冷冻冷藏工程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建筑环境与设备工程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城市燃气工程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供热空调与燃气工程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供热通风与空调工程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化工工艺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煤化工（或燃料化工）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食品科学与工程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冷冻冷藏工程（部分）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飞行器设计与工程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油气储运工程</w:t>
            </w:r>
          </w:p>
        </w:tc>
        <w:tc>
          <w:tcPr>
            <w:tcW w:w="353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飞行器设计与工程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空气动力学与飞行力学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化工设备与机械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油气储运工程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石油天然气储运工程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6101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</w:tc>
        <w:tc>
          <w:tcPr>
            <w:tcW w:w="353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给水排水工程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" w:hRule="atLeast"/>
        </w:trPr>
        <w:tc>
          <w:tcPr>
            <w:tcW w:w="148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环境科学与工程</w:t>
            </w:r>
          </w:p>
        </w:tc>
        <w:tc>
          <w:tcPr>
            <w:tcW w:w="353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8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6101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4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</w:pPr>
    </w:p>
    <w:tbl>
      <w:tblPr>
        <w:tblStyle w:val="6"/>
        <w:tblW w:w="10474" w:type="dxa"/>
        <w:jc w:val="center"/>
        <w:tblInd w:w="-10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"/>
        <w:gridCol w:w="422"/>
        <w:gridCol w:w="318"/>
        <w:gridCol w:w="2824"/>
        <w:gridCol w:w="81"/>
        <w:gridCol w:w="3529"/>
        <w:gridCol w:w="252"/>
        <w:gridCol w:w="2342"/>
        <w:gridCol w:w="3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300" w:hRule="atLeast"/>
          <w:jc w:val="center"/>
        </w:trPr>
        <w:tc>
          <w:tcPr>
            <w:tcW w:w="9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50" w:hRule="atLeast"/>
          <w:jc w:val="center"/>
        </w:trPr>
        <w:tc>
          <w:tcPr>
            <w:tcW w:w="9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方正小标宋简体" w:hAnsi="方正小标宋简体" w:eastAsia="方正小标宋简体" w:cs="方正小标宋简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 给排水科学与工程专业评估通过学校和有效期情况统计表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375" w:hRule="atLeast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500"/>
              <w:jc w:val="left"/>
              <w:textAlignment w:val="top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lang w:val="en-US" w:eastAsia="zh-CN" w:bidi="ar"/>
              </w:rPr>
              <w:t>（截至2024年5月，按首次通过评估时间排序）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595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序号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学校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本科合格有效期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首次通过评估时间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清华大学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同济大学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重庆大学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哈尔滨工业大学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西安建筑科技大学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北京建筑大学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河海大学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华中科技大学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湖南大学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南京工业大学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兰州交通大学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广州大学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安徽建筑大学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沈阳建筑大学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长安大学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桂林理工大学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武汉理工大学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2018.5-2024.5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扬州大学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山东建筑大学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武汉大学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苏州科技大学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吉林建筑大学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四川大学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9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青岛理工大学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天津城建大学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华东交通大学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浙江工业大学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昆明理工大学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1125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济南大学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  <w:r>
              <w:rPr>
                <w:rStyle w:val="13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（2017年6月至2018年5月</w:t>
            </w:r>
            <w:r>
              <w:rPr>
                <w:rStyle w:val="13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不在有效期内）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太原理工大学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合肥工业大学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南华大学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2019.5-2025.5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河北建筑工程学院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河南城建学院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盐城工学院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华侨大学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北京工业大学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福建理工大学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2020.5-2026.5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武汉科技大学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安徽工业大学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2022.5-2028.5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河北工程大学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2022.5-2028.5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长春工程学院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2022.5-2028.5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南京林业大学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华北水利水电大学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广东工业大学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2023.5-2029.5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湖南城市学院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南昌航空大学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长江大学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2024.5-2030.5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重庆交通大学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2021.5-2024.5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9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东华理工大学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兰州理工大学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辽宁工程技术大学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洛阳理工学院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南昌工程学院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江西理工大学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长沙理工大学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西安理工大学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北京林业大学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2023.5-2026.5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安徽工程大学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福州大学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广东石油化工学院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南昌大学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8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中原工学院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53" w:type="dxa"/>
          <w:wAfter w:w="353" w:type="dxa"/>
          <w:trHeight w:val="497" w:hRule="atLeast"/>
          <w:jc w:val="center"/>
        </w:trPr>
        <w:tc>
          <w:tcPr>
            <w:tcW w:w="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湖南科技大学</w:t>
            </w:r>
          </w:p>
        </w:tc>
        <w:tc>
          <w:tcPr>
            <w:tcW w:w="3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>2024.5-2027.5</w:t>
            </w:r>
          </w:p>
        </w:tc>
        <w:tc>
          <w:tcPr>
            <w:tcW w:w="2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04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4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lang w:val="en-US" w:eastAsia="zh-CN" w:bidi="ar"/>
              </w:rPr>
              <w:t>建筑环境与能源应用工程专业评估通过学校和有效期情况统计表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jc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50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（截至2024年5月，按首次通过评估时间排序）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 校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本科合格有效期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首次通过评估时间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清华大学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同济大学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天津大学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哈尔滨工业大学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重庆大学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陆军工程大学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东华大学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有效期截至2023.5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湖南大学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西安建筑科技大学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山东建筑大学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2020.5-2026.5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北京建筑大学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（2020年5月至2023年5月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不在有效期内）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华中科技大学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（2010年5月至2011年5月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不在有效期内）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中原工学院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广州大学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北京工业大学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沈阳建筑大学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南京工业大学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长安大学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吉林建筑大学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青岛理工大学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河北建筑工程学院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中南大学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 校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本科合格有效期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首次通过评估时间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安徽建筑大学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南京理工大学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2020.5-2026.5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西安交通大学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有效期截至2021.5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兰州交通大学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天津城建大学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大连理工大学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上海理工大学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西南交通大学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中国矿业大学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西南科技大学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2020.5-2026.5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河南城建学院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（2020年5月至2024年5月不在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有效期）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武汉科技大学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（2021年5月至2023年5月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不在有效期内）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河北工业大学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2021.5-2027.5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南华大学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合肥工业大学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太原理工大学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2022.5-2028.5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宁波工程学院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2024.5-2027.5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（2022年5月至2024年5月不在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有效期）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东北林业大学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重庆科技学院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安徽工业大学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广东工业大学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（2023年5月至2024年5月不在</w:t>
            </w:r>
            <w:r>
              <w:rPr>
                <w:rStyle w:val="16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有效期）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河南科技大学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福建理工大学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燕山大学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2019.5-2024.5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江苏科技大学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2019.5-2024.5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湖南科技大学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东北电力大学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内蒙古工业大学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石家庄铁道大学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浙江理工大学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郑州大学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2020.5-2023.5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桂林电子科技大学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北京联合大学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长春工程学院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中国石油大学（华东）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2024.5-2030.5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东南大学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2023.5-2029.5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西安科技大学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辽宁科技大学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扬州大学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西安工程大学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2023.5-2026.5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苏州科技大学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常州大学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长沙理工大学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集美大学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华北水利水电大学</w:t>
            </w:r>
          </w:p>
        </w:tc>
        <w:tc>
          <w:tcPr>
            <w:tcW w:w="3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lang w:val="en-US" w:eastAsia="zh-CN" w:bidi="ar"/>
              </w:rPr>
              <w:t>2024.5-2027.5</w:t>
            </w:r>
          </w:p>
        </w:tc>
        <w:tc>
          <w:tcPr>
            <w:tcW w:w="2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2024.5 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225" w:beforeAutospacing="0" w:after="0" w:afterAutospacing="0" w:line="480" w:lineRule="atLeast"/>
        <w:ind w:left="42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2F42"/>
    <w:multiLevelType w:val="multilevel"/>
    <w:tmpl w:val="0A952F42"/>
    <w:lvl w:ilvl="0" w:tentative="0">
      <w:start w:val="1"/>
      <w:numFmt w:val="decimalEnclosedParen"/>
      <w:lvlText w:val="%1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FD61157"/>
    <w:multiLevelType w:val="multilevel"/>
    <w:tmpl w:val="1FD61157"/>
    <w:lvl w:ilvl="0" w:tentative="0">
      <w:start w:val="1"/>
      <w:numFmt w:val="decimalEnclosedParen"/>
      <w:lvlText w:val="%1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DBB66C0"/>
    <w:multiLevelType w:val="multilevel"/>
    <w:tmpl w:val="3DBB66C0"/>
    <w:lvl w:ilvl="0" w:tentative="0">
      <w:start w:val="1"/>
      <w:numFmt w:val="decimalEnclosedParen"/>
      <w:lvlText w:val="%1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3626E7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24675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16FDD"/>
    <w:rsid w:val="3BBA1DBC"/>
    <w:rsid w:val="3BDB1E50"/>
    <w:rsid w:val="3BDD0490"/>
    <w:rsid w:val="3BE50550"/>
    <w:rsid w:val="3BFA5956"/>
    <w:rsid w:val="3C003681"/>
    <w:rsid w:val="3C1744D9"/>
    <w:rsid w:val="3C3B62B1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50F7B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customStyle="1" w:styleId="9">
    <w:name w:val="font4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1">
    <w:name w:val="font81"/>
    <w:basedOn w:val="7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51"/>
    <w:basedOn w:val="7"/>
    <w:qFormat/>
    <w:uiPriority w:val="0"/>
    <w:rPr>
      <w:rFonts w:ascii="楷体" w:hAnsi="楷体" w:eastAsia="楷体" w:cs="楷体"/>
      <w:color w:val="000000"/>
      <w:sz w:val="24"/>
      <w:szCs w:val="24"/>
      <w:u w:val="none"/>
    </w:rPr>
  </w:style>
  <w:style w:type="character" w:customStyle="1" w:styleId="13">
    <w:name w:val="font61"/>
    <w:basedOn w:val="7"/>
    <w:qFormat/>
    <w:uiPriority w:val="0"/>
    <w:rPr>
      <w:rFonts w:ascii="仿宋" w:hAnsi="仿宋" w:eastAsia="仿宋" w:cs="仿宋"/>
      <w:color w:val="000000"/>
      <w:sz w:val="24"/>
      <w:szCs w:val="24"/>
      <w:u w:val="none"/>
    </w:rPr>
  </w:style>
  <w:style w:type="character" w:customStyle="1" w:styleId="14">
    <w:name w:val="font21"/>
    <w:basedOn w:val="7"/>
    <w:uiPriority w:val="0"/>
    <w:rPr>
      <w:rFonts w:ascii="方正小标宋简体" w:hAnsi="方正小标宋简体" w:eastAsia="方正小标宋简体" w:cs="方正小标宋简体"/>
      <w:color w:val="000000"/>
      <w:sz w:val="30"/>
      <w:szCs w:val="30"/>
      <w:u w:val="none"/>
    </w:rPr>
  </w:style>
  <w:style w:type="character" w:customStyle="1" w:styleId="15">
    <w:name w:val="font31"/>
    <w:basedOn w:val="7"/>
    <w:qFormat/>
    <w:uiPriority w:val="0"/>
    <w:rPr>
      <w:rFonts w:ascii="楷体" w:hAnsi="楷体" w:eastAsia="楷体" w:cs="楷体"/>
      <w:color w:val="000000"/>
      <w:sz w:val="22"/>
      <w:szCs w:val="22"/>
      <w:u w:val="none"/>
    </w:rPr>
  </w:style>
  <w:style w:type="character" w:customStyle="1" w:styleId="16">
    <w:name w:val="font01"/>
    <w:basedOn w:val="7"/>
    <w:uiPriority w:val="0"/>
    <w:rPr>
      <w:rFonts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